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5E722B4B" w:rsidR="00992E96" w:rsidRPr="00682600" w:rsidRDefault="00682600" w:rsidP="00682600">
      <w:pPr>
        <w:pStyle w:val="LGAItemNoHeading"/>
        <w:spacing w:before="240"/>
        <w:rPr>
          <w:rFonts w:ascii="Arial" w:eastAsia="Arial" w:hAnsi="Arial" w:cs="Arial"/>
          <w:sz w:val="28"/>
          <w:szCs w:val="28"/>
        </w:rPr>
      </w:pPr>
      <w:r w:rsidRPr="00682600">
        <w:rPr>
          <w:rFonts w:ascii="Arial" w:eastAsia="Arial" w:hAnsi="Arial" w:cs="Arial"/>
          <w:sz w:val="28"/>
          <w:szCs w:val="28"/>
        </w:rPr>
        <w:t>General</w:t>
      </w:r>
      <w:r w:rsidR="0234E103" w:rsidRPr="00682600">
        <w:rPr>
          <w:rFonts w:ascii="Arial" w:eastAsia="Arial" w:hAnsi="Arial" w:cs="Arial"/>
          <w:sz w:val="28"/>
          <w:szCs w:val="28"/>
        </w:rPr>
        <w:t xml:space="preserve"> </w:t>
      </w:r>
      <w:r w:rsidRPr="00682600">
        <w:rPr>
          <w:rFonts w:ascii="Arial" w:eastAsia="Arial" w:hAnsi="Arial" w:cs="Arial"/>
          <w:sz w:val="28"/>
          <w:szCs w:val="28"/>
        </w:rPr>
        <w:t>u</w:t>
      </w:r>
      <w:r w:rsidR="0234E103" w:rsidRPr="00682600">
        <w:rPr>
          <w:rFonts w:ascii="Arial" w:eastAsia="Arial" w:hAnsi="Arial" w:cs="Arial"/>
          <w:sz w:val="28"/>
          <w:szCs w:val="28"/>
        </w:rPr>
        <w:t>pdate</w:t>
      </w:r>
    </w:p>
    <w:p w14:paraId="3E832265" w14:textId="1ABDCFB4" w:rsidR="00992E96" w:rsidRPr="00682600" w:rsidRDefault="0234E103" w:rsidP="0234E103">
      <w:pPr>
        <w:pStyle w:val="MainText"/>
        <w:spacing w:line="240" w:lineRule="auto"/>
        <w:rPr>
          <w:rFonts w:ascii="Arial" w:eastAsia="Arial" w:hAnsi="Arial" w:cs="Arial"/>
          <w:b/>
          <w:bCs/>
        </w:rPr>
      </w:pPr>
      <w:r w:rsidRPr="00682600">
        <w:rPr>
          <w:rFonts w:ascii="Arial" w:eastAsia="Arial" w:hAnsi="Arial" w:cs="Arial"/>
          <w:b/>
          <w:bCs/>
        </w:rPr>
        <w:t xml:space="preserve">Purpose </w:t>
      </w:r>
    </w:p>
    <w:p w14:paraId="3E832266" w14:textId="77777777" w:rsidR="00992E96" w:rsidRPr="00682600" w:rsidRDefault="00992E96" w:rsidP="00992E96">
      <w:pPr>
        <w:pStyle w:val="MainText"/>
        <w:spacing w:line="240" w:lineRule="auto"/>
        <w:rPr>
          <w:rFonts w:ascii="Arial" w:hAnsi="Arial" w:cs="Arial"/>
          <w:b/>
          <w:szCs w:val="22"/>
        </w:rPr>
      </w:pPr>
    </w:p>
    <w:p w14:paraId="3E832267" w14:textId="7B849639" w:rsidR="00992E96" w:rsidRPr="00682600" w:rsidRDefault="0234E103" w:rsidP="0234E103">
      <w:pPr>
        <w:pStyle w:val="MainText"/>
        <w:spacing w:line="240" w:lineRule="auto"/>
        <w:rPr>
          <w:rFonts w:ascii="Arial" w:eastAsia="Arial" w:hAnsi="Arial" w:cs="Arial"/>
          <w:b/>
          <w:bCs/>
        </w:rPr>
      </w:pPr>
      <w:r w:rsidRPr="00682600">
        <w:rPr>
          <w:rFonts w:ascii="Arial" w:eastAsia="Arial" w:hAnsi="Arial" w:cs="Arial"/>
        </w:rPr>
        <w:t xml:space="preserve">For </w:t>
      </w:r>
      <w:r w:rsidR="008A655F">
        <w:rPr>
          <w:rFonts w:ascii="Arial" w:eastAsia="Arial" w:hAnsi="Arial" w:cs="Arial"/>
        </w:rPr>
        <w:t>information</w:t>
      </w:r>
      <w:r w:rsidRPr="00682600">
        <w:rPr>
          <w:rFonts w:ascii="Arial" w:eastAsia="Arial" w:hAnsi="Arial" w:cs="Arial"/>
        </w:rPr>
        <w:t>.</w:t>
      </w:r>
    </w:p>
    <w:p w14:paraId="3E832268" w14:textId="77777777" w:rsidR="00992E96" w:rsidRPr="00682600" w:rsidRDefault="00992E96" w:rsidP="00992E96">
      <w:pPr>
        <w:pStyle w:val="MainText"/>
        <w:spacing w:line="240" w:lineRule="auto"/>
        <w:rPr>
          <w:rFonts w:ascii="Arial" w:hAnsi="Arial" w:cs="Arial"/>
          <w:b/>
          <w:szCs w:val="22"/>
        </w:rPr>
      </w:pPr>
    </w:p>
    <w:p w14:paraId="3E83226A" w14:textId="77777777" w:rsidR="00992E96" w:rsidRPr="00682600" w:rsidRDefault="0234E103" w:rsidP="0234E103">
      <w:pPr>
        <w:pStyle w:val="MainText"/>
        <w:spacing w:line="240" w:lineRule="auto"/>
        <w:rPr>
          <w:rFonts w:ascii="Arial" w:eastAsia="Arial" w:hAnsi="Arial" w:cs="Arial"/>
        </w:rPr>
      </w:pPr>
      <w:r w:rsidRPr="00682600">
        <w:rPr>
          <w:rFonts w:ascii="Arial" w:eastAsia="Arial" w:hAnsi="Arial" w:cs="Arial"/>
          <w:b/>
          <w:bCs/>
        </w:rPr>
        <w:t>Summary</w:t>
      </w:r>
    </w:p>
    <w:p w14:paraId="3E83226B" w14:textId="77777777" w:rsidR="00992E96" w:rsidRPr="00682600" w:rsidRDefault="00992E96" w:rsidP="00992E96">
      <w:pPr>
        <w:pStyle w:val="MainText"/>
        <w:spacing w:line="240" w:lineRule="auto"/>
        <w:rPr>
          <w:rFonts w:ascii="Arial" w:hAnsi="Arial" w:cs="Arial"/>
          <w:szCs w:val="22"/>
        </w:rPr>
      </w:pPr>
    </w:p>
    <w:p w14:paraId="06DCFBA9" w14:textId="77777777" w:rsidR="00446226" w:rsidRDefault="0234E103" w:rsidP="0234E103">
      <w:pPr>
        <w:pStyle w:val="MainText"/>
        <w:spacing w:line="240" w:lineRule="auto"/>
        <w:rPr>
          <w:rFonts w:ascii="Arial" w:eastAsia="Arial" w:hAnsi="Arial" w:cs="Arial"/>
        </w:rPr>
      </w:pPr>
      <w:r w:rsidRPr="00682600">
        <w:rPr>
          <w:rFonts w:ascii="Arial" w:eastAsia="Arial" w:hAnsi="Arial" w:cs="Arial"/>
        </w:rPr>
        <w:t xml:space="preserve">This report provides an update on a number of areas of work within the </w:t>
      </w:r>
      <w:r w:rsidR="00682600" w:rsidRPr="00682600">
        <w:rPr>
          <w:rFonts w:ascii="Arial" w:eastAsia="Arial" w:hAnsi="Arial" w:cs="Arial"/>
        </w:rPr>
        <w:t>Environment, Economy, Housing and Transport</w:t>
      </w:r>
      <w:r w:rsidRPr="00682600">
        <w:rPr>
          <w:rFonts w:ascii="Arial" w:eastAsia="Arial" w:hAnsi="Arial" w:cs="Arial"/>
        </w:rPr>
        <w:t xml:space="preserve"> work programme which do not appear elsewhere on the agenda. </w:t>
      </w:r>
    </w:p>
    <w:p w14:paraId="6ABB1D4B" w14:textId="77777777" w:rsidR="00446226" w:rsidRDefault="00446226" w:rsidP="0234E103">
      <w:pPr>
        <w:pStyle w:val="MainText"/>
        <w:spacing w:line="240" w:lineRule="auto"/>
        <w:rPr>
          <w:rFonts w:ascii="Arial" w:eastAsia="Arial" w:hAnsi="Arial" w:cs="Arial"/>
        </w:rPr>
      </w:pPr>
    </w:p>
    <w:p w14:paraId="3E83226C" w14:textId="275FB9A3" w:rsidR="00992E96" w:rsidRPr="00682600" w:rsidRDefault="00446226" w:rsidP="0234E103">
      <w:pPr>
        <w:pStyle w:val="MainText"/>
        <w:spacing w:line="240" w:lineRule="auto"/>
        <w:rPr>
          <w:rFonts w:ascii="Arial" w:eastAsia="Arial" w:hAnsi="Arial" w:cs="Arial"/>
        </w:rPr>
      </w:pPr>
      <w:r>
        <w:rPr>
          <w:rFonts w:ascii="Arial" w:eastAsia="Arial" w:hAnsi="Arial" w:cs="Arial"/>
          <w:bCs/>
          <w:iCs/>
        </w:rPr>
        <w:t xml:space="preserve">Attached as </w:t>
      </w:r>
      <w:r>
        <w:rPr>
          <w:rFonts w:ascii="Arial" w:eastAsia="Arial" w:hAnsi="Arial" w:cs="Arial"/>
          <w:b/>
          <w:bCs/>
          <w:iCs/>
          <w:u w:val="single"/>
        </w:rPr>
        <w:t>Appendix A</w:t>
      </w:r>
      <w:r>
        <w:rPr>
          <w:rFonts w:ascii="Arial" w:eastAsia="Arial" w:hAnsi="Arial" w:cs="Arial"/>
          <w:bCs/>
          <w:iCs/>
        </w:rPr>
        <w:t xml:space="preserve"> is a joint letter from EEHT &amp; Culture, Tourism and Sport lead members to the Rt Hon Karen Bradley MP, Secretary of State for Culture, Media and Sport on the European Capital of Culture. </w:t>
      </w:r>
    </w:p>
    <w:p w14:paraId="3E83226D" w14:textId="77777777" w:rsidR="00992E96" w:rsidRPr="00682600" w:rsidRDefault="00992E96" w:rsidP="00992E96">
      <w:pPr>
        <w:pStyle w:val="MainText"/>
        <w:spacing w:line="240" w:lineRule="auto"/>
        <w:rPr>
          <w:rFonts w:ascii="Arial" w:hAnsi="Arial" w:cs="Arial"/>
          <w:szCs w:val="22"/>
        </w:rPr>
      </w:pPr>
    </w:p>
    <w:p w14:paraId="3E83226E" w14:textId="77777777" w:rsidR="00992E96" w:rsidRPr="00682600"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682600" w14:paraId="3E832278" w14:textId="77777777" w:rsidTr="0234E103">
        <w:tc>
          <w:tcPr>
            <w:tcW w:w="9157" w:type="dxa"/>
          </w:tcPr>
          <w:p w14:paraId="3E83226F" w14:textId="77777777" w:rsidR="00992E96" w:rsidRPr="00682600" w:rsidRDefault="00992E96" w:rsidP="00DB0489">
            <w:pPr>
              <w:pStyle w:val="MainText"/>
              <w:spacing w:line="240" w:lineRule="auto"/>
              <w:rPr>
                <w:rFonts w:ascii="Arial" w:hAnsi="Arial" w:cs="Arial"/>
                <w:b/>
                <w:szCs w:val="22"/>
              </w:rPr>
            </w:pPr>
          </w:p>
          <w:p w14:paraId="3E832270" w14:textId="330DFECD" w:rsidR="00992E96" w:rsidRPr="00682600" w:rsidRDefault="0234E103" w:rsidP="0234E103">
            <w:pPr>
              <w:pStyle w:val="MainText"/>
              <w:spacing w:line="240" w:lineRule="auto"/>
              <w:rPr>
                <w:rFonts w:ascii="Arial" w:eastAsia="Arial" w:hAnsi="Arial" w:cs="Arial"/>
                <w:b/>
                <w:bCs/>
              </w:rPr>
            </w:pPr>
            <w:r w:rsidRPr="00682600">
              <w:rPr>
                <w:rFonts w:ascii="Arial" w:eastAsia="Arial" w:hAnsi="Arial" w:cs="Arial"/>
                <w:b/>
                <w:bCs/>
              </w:rPr>
              <w:t>Recommendation</w:t>
            </w:r>
          </w:p>
          <w:p w14:paraId="6C5D1D14" w14:textId="77777777" w:rsidR="008E2F10" w:rsidRPr="00682600" w:rsidRDefault="008E2F10" w:rsidP="00DB0489">
            <w:pPr>
              <w:pStyle w:val="MainText"/>
              <w:spacing w:line="240" w:lineRule="auto"/>
              <w:rPr>
                <w:rFonts w:ascii="Arial" w:hAnsi="Arial" w:cs="Arial"/>
                <w:szCs w:val="22"/>
              </w:rPr>
            </w:pPr>
          </w:p>
          <w:p w14:paraId="3E832272" w14:textId="42811D38" w:rsidR="00992E96" w:rsidRPr="00682600" w:rsidRDefault="002375C1" w:rsidP="0234E103">
            <w:pPr>
              <w:pStyle w:val="MainText"/>
              <w:spacing w:line="240" w:lineRule="auto"/>
              <w:rPr>
                <w:rFonts w:ascii="Arial" w:eastAsia="Arial" w:hAnsi="Arial" w:cs="Arial"/>
              </w:rPr>
            </w:pPr>
            <w:r>
              <w:rPr>
                <w:rFonts w:ascii="Arial" w:eastAsia="Arial" w:hAnsi="Arial" w:cs="Arial"/>
              </w:rPr>
              <w:t>That the B</w:t>
            </w:r>
            <w:r w:rsidR="0234E103" w:rsidRPr="00682600">
              <w:rPr>
                <w:rFonts w:ascii="Arial" w:eastAsia="Arial" w:hAnsi="Arial" w:cs="Arial"/>
              </w:rPr>
              <w:t>oard notes the updates in the report</w:t>
            </w:r>
          </w:p>
          <w:p w14:paraId="3E832273" w14:textId="77777777" w:rsidR="00992E96" w:rsidRPr="00682600" w:rsidRDefault="00992E96" w:rsidP="00DB0489">
            <w:pPr>
              <w:pStyle w:val="MainText"/>
              <w:spacing w:line="240" w:lineRule="auto"/>
              <w:rPr>
                <w:rFonts w:ascii="Arial" w:hAnsi="Arial" w:cs="Arial"/>
                <w:szCs w:val="22"/>
              </w:rPr>
            </w:pPr>
          </w:p>
          <w:p w14:paraId="3E832274" w14:textId="3AF4C3A2" w:rsidR="00992E96" w:rsidRPr="00682600" w:rsidRDefault="0234E103" w:rsidP="0234E103">
            <w:pPr>
              <w:pStyle w:val="MainText"/>
              <w:spacing w:line="240" w:lineRule="auto"/>
              <w:rPr>
                <w:rFonts w:ascii="Arial" w:eastAsia="Arial" w:hAnsi="Arial" w:cs="Arial"/>
                <w:b/>
                <w:bCs/>
              </w:rPr>
            </w:pPr>
            <w:r w:rsidRPr="00682600">
              <w:rPr>
                <w:rFonts w:ascii="Arial" w:eastAsia="Arial" w:hAnsi="Arial" w:cs="Arial"/>
                <w:b/>
                <w:bCs/>
              </w:rPr>
              <w:t>Action</w:t>
            </w:r>
          </w:p>
          <w:p w14:paraId="3E832275" w14:textId="77777777" w:rsidR="00992E96" w:rsidRPr="00682600" w:rsidRDefault="00992E96" w:rsidP="00DB0489">
            <w:pPr>
              <w:pStyle w:val="MainText"/>
              <w:spacing w:line="240" w:lineRule="auto"/>
              <w:rPr>
                <w:rFonts w:ascii="Arial" w:hAnsi="Arial" w:cs="Arial"/>
                <w:szCs w:val="22"/>
              </w:rPr>
            </w:pPr>
          </w:p>
          <w:p w14:paraId="3E832276" w14:textId="43DA9189" w:rsidR="00992E96" w:rsidRPr="00682600" w:rsidRDefault="0234E103" w:rsidP="0234E103">
            <w:pPr>
              <w:pStyle w:val="MainText"/>
              <w:spacing w:line="240" w:lineRule="auto"/>
              <w:rPr>
                <w:rFonts w:ascii="Arial" w:eastAsia="Arial" w:hAnsi="Arial" w:cs="Arial"/>
              </w:rPr>
            </w:pPr>
            <w:r w:rsidRPr="00682600">
              <w:rPr>
                <w:rFonts w:ascii="Arial" w:eastAsia="Arial" w:hAnsi="Arial" w:cs="Arial"/>
              </w:rPr>
              <w:t>Any actions to be taken forward as directed by members.</w:t>
            </w:r>
          </w:p>
          <w:p w14:paraId="3E832277" w14:textId="77777777" w:rsidR="00992E96" w:rsidRPr="00682600" w:rsidRDefault="00992E96" w:rsidP="00DB0489">
            <w:pPr>
              <w:pStyle w:val="MainText"/>
              <w:spacing w:line="240" w:lineRule="auto"/>
              <w:rPr>
                <w:rFonts w:ascii="Arial" w:hAnsi="Arial" w:cs="Arial"/>
                <w:b/>
                <w:szCs w:val="22"/>
              </w:rPr>
            </w:pPr>
          </w:p>
        </w:tc>
      </w:tr>
    </w:tbl>
    <w:p w14:paraId="3E832279" w14:textId="77777777" w:rsidR="00992E96" w:rsidRPr="00682600" w:rsidRDefault="00992E96" w:rsidP="00992E96">
      <w:pPr>
        <w:pStyle w:val="MainText"/>
        <w:spacing w:line="240" w:lineRule="auto"/>
        <w:rPr>
          <w:rFonts w:ascii="Arial" w:hAnsi="Arial" w:cs="Arial"/>
          <w:szCs w:val="22"/>
        </w:rPr>
      </w:pPr>
    </w:p>
    <w:p w14:paraId="3E83227A" w14:textId="77777777" w:rsidR="00992E96" w:rsidRPr="00682600"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682600" w14:paraId="3E83227D" w14:textId="77777777" w:rsidTr="0234E103">
        <w:tc>
          <w:tcPr>
            <w:tcW w:w="2774" w:type="dxa"/>
          </w:tcPr>
          <w:p w14:paraId="3E83227B" w14:textId="77777777" w:rsidR="00992E96" w:rsidRPr="00682600" w:rsidRDefault="0234E103" w:rsidP="0234E103">
            <w:pPr>
              <w:pStyle w:val="MainText"/>
              <w:spacing w:before="120" w:line="240" w:lineRule="auto"/>
              <w:rPr>
                <w:rFonts w:ascii="Arial" w:eastAsia="Arial" w:hAnsi="Arial" w:cs="Arial"/>
                <w:sz w:val="22"/>
                <w:szCs w:val="22"/>
              </w:rPr>
            </w:pPr>
            <w:r w:rsidRPr="00682600">
              <w:rPr>
                <w:rFonts w:ascii="Arial" w:eastAsia="Arial" w:hAnsi="Arial" w:cs="Arial"/>
                <w:b/>
                <w:bCs/>
                <w:sz w:val="22"/>
                <w:szCs w:val="22"/>
              </w:rPr>
              <w:t>Contact officer:</w:t>
            </w:r>
            <w:r w:rsidRPr="00682600">
              <w:rPr>
                <w:rFonts w:ascii="Arial" w:eastAsia="Arial" w:hAnsi="Arial" w:cs="Arial"/>
                <w:sz w:val="22"/>
                <w:szCs w:val="22"/>
              </w:rPr>
              <w:t xml:space="preserve"> </w:t>
            </w:r>
          </w:p>
        </w:tc>
        <w:tc>
          <w:tcPr>
            <w:tcW w:w="6297" w:type="dxa"/>
          </w:tcPr>
          <w:p w14:paraId="3E83227C" w14:textId="0902D4E5" w:rsidR="00992E96" w:rsidRPr="00682600" w:rsidRDefault="0234E103" w:rsidP="0234E103">
            <w:pPr>
              <w:pStyle w:val="MainText"/>
              <w:spacing w:before="120" w:line="240" w:lineRule="auto"/>
              <w:rPr>
                <w:rFonts w:ascii="Arial" w:eastAsia="Arial" w:hAnsi="Arial" w:cs="Arial"/>
                <w:sz w:val="22"/>
                <w:szCs w:val="22"/>
              </w:rPr>
            </w:pPr>
            <w:r w:rsidRPr="00682600">
              <w:rPr>
                <w:rFonts w:ascii="Arial" w:eastAsia="Arial" w:hAnsi="Arial" w:cs="Arial"/>
                <w:sz w:val="22"/>
                <w:szCs w:val="22"/>
              </w:rPr>
              <w:t>Andrew Jones</w:t>
            </w:r>
          </w:p>
        </w:tc>
      </w:tr>
      <w:tr w:rsidR="00992E96" w:rsidRPr="00682600" w14:paraId="3E832280" w14:textId="77777777" w:rsidTr="0234E103">
        <w:tc>
          <w:tcPr>
            <w:tcW w:w="2774" w:type="dxa"/>
          </w:tcPr>
          <w:p w14:paraId="3E83227E" w14:textId="77777777" w:rsidR="00992E96" w:rsidRPr="00682600" w:rsidRDefault="0234E103" w:rsidP="0234E103">
            <w:pPr>
              <w:pStyle w:val="MainText"/>
              <w:spacing w:before="120" w:line="240" w:lineRule="auto"/>
              <w:rPr>
                <w:rFonts w:ascii="Arial" w:eastAsia="Arial" w:hAnsi="Arial" w:cs="Arial"/>
                <w:b/>
                <w:bCs/>
                <w:sz w:val="22"/>
                <w:szCs w:val="22"/>
              </w:rPr>
            </w:pPr>
            <w:r w:rsidRPr="00682600">
              <w:rPr>
                <w:rFonts w:ascii="Arial" w:eastAsia="Arial" w:hAnsi="Arial" w:cs="Arial"/>
                <w:b/>
                <w:bCs/>
                <w:sz w:val="22"/>
                <w:szCs w:val="22"/>
              </w:rPr>
              <w:t>Position:</w:t>
            </w:r>
          </w:p>
        </w:tc>
        <w:tc>
          <w:tcPr>
            <w:tcW w:w="6297" w:type="dxa"/>
          </w:tcPr>
          <w:p w14:paraId="3E83227F" w14:textId="71EBE0F7" w:rsidR="00992E96" w:rsidRPr="00682600" w:rsidRDefault="0234E103" w:rsidP="0234E103">
            <w:pPr>
              <w:pStyle w:val="MainText"/>
              <w:spacing w:before="120" w:line="240" w:lineRule="auto"/>
              <w:rPr>
                <w:rFonts w:ascii="Arial" w:eastAsia="Arial" w:hAnsi="Arial" w:cs="Arial"/>
                <w:sz w:val="22"/>
                <w:szCs w:val="22"/>
              </w:rPr>
            </w:pPr>
            <w:r w:rsidRPr="00682600">
              <w:rPr>
                <w:rFonts w:ascii="Arial" w:eastAsia="Arial" w:hAnsi="Arial" w:cs="Arial"/>
                <w:sz w:val="22"/>
                <w:szCs w:val="22"/>
              </w:rPr>
              <w:t>Policy Adviser</w:t>
            </w:r>
          </w:p>
        </w:tc>
      </w:tr>
      <w:tr w:rsidR="00992E96" w:rsidRPr="00682600" w14:paraId="3E832283" w14:textId="77777777" w:rsidTr="0234E103">
        <w:tc>
          <w:tcPr>
            <w:tcW w:w="2774" w:type="dxa"/>
          </w:tcPr>
          <w:p w14:paraId="3E832281" w14:textId="77777777" w:rsidR="00992E96" w:rsidRPr="00682600" w:rsidRDefault="0234E103" w:rsidP="0234E103">
            <w:pPr>
              <w:pStyle w:val="MainText"/>
              <w:spacing w:before="120" w:line="240" w:lineRule="auto"/>
              <w:rPr>
                <w:rFonts w:ascii="Arial" w:eastAsia="Arial" w:hAnsi="Arial" w:cs="Arial"/>
                <w:b/>
                <w:bCs/>
                <w:sz w:val="22"/>
                <w:szCs w:val="22"/>
              </w:rPr>
            </w:pPr>
            <w:r w:rsidRPr="00682600">
              <w:rPr>
                <w:rFonts w:ascii="Arial" w:eastAsia="Arial" w:hAnsi="Arial" w:cs="Arial"/>
                <w:b/>
                <w:bCs/>
                <w:sz w:val="22"/>
                <w:szCs w:val="22"/>
              </w:rPr>
              <w:t>Phone no:</w:t>
            </w:r>
          </w:p>
        </w:tc>
        <w:tc>
          <w:tcPr>
            <w:tcW w:w="6297" w:type="dxa"/>
          </w:tcPr>
          <w:p w14:paraId="3E832282" w14:textId="51715E48" w:rsidR="00992E96" w:rsidRPr="00682600" w:rsidRDefault="0234E103" w:rsidP="0234E103">
            <w:pPr>
              <w:pStyle w:val="MainText"/>
              <w:spacing w:before="120" w:line="240" w:lineRule="auto"/>
              <w:rPr>
                <w:rFonts w:ascii="Arial" w:eastAsia="Arial" w:hAnsi="Arial" w:cs="Arial"/>
                <w:sz w:val="22"/>
                <w:szCs w:val="22"/>
              </w:rPr>
            </w:pPr>
            <w:r w:rsidRPr="00682600">
              <w:rPr>
                <w:rFonts w:ascii="Arial" w:eastAsia="Arial" w:hAnsi="Arial" w:cs="Arial"/>
                <w:sz w:val="22"/>
                <w:szCs w:val="22"/>
              </w:rPr>
              <w:t>020 7664 3178</w:t>
            </w:r>
          </w:p>
        </w:tc>
      </w:tr>
      <w:tr w:rsidR="00992E96" w:rsidRPr="00682600" w14:paraId="3E832286" w14:textId="77777777" w:rsidTr="0234E103">
        <w:trPr>
          <w:trHeight w:val="507"/>
        </w:trPr>
        <w:tc>
          <w:tcPr>
            <w:tcW w:w="2774" w:type="dxa"/>
          </w:tcPr>
          <w:p w14:paraId="3E832284" w14:textId="77777777" w:rsidR="00992E96" w:rsidRPr="00682600" w:rsidRDefault="0234E103" w:rsidP="0234E103">
            <w:pPr>
              <w:pStyle w:val="MainText"/>
              <w:spacing w:before="120" w:line="240" w:lineRule="auto"/>
              <w:rPr>
                <w:rFonts w:ascii="Arial" w:eastAsia="Arial" w:hAnsi="Arial" w:cs="Arial"/>
                <w:b/>
                <w:bCs/>
                <w:sz w:val="22"/>
                <w:szCs w:val="22"/>
              </w:rPr>
            </w:pPr>
            <w:r w:rsidRPr="00682600">
              <w:rPr>
                <w:rFonts w:ascii="Arial" w:eastAsia="Arial" w:hAnsi="Arial" w:cs="Arial"/>
                <w:b/>
                <w:bCs/>
                <w:sz w:val="22"/>
                <w:szCs w:val="22"/>
              </w:rPr>
              <w:t>Email:</w:t>
            </w:r>
          </w:p>
        </w:tc>
        <w:tc>
          <w:tcPr>
            <w:tcW w:w="6297" w:type="dxa"/>
          </w:tcPr>
          <w:p w14:paraId="3E832285" w14:textId="47BE6300" w:rsidR="00992E96" w:rsidRPr="00682600" w:rsidRDefault="00BD464D" w:rsidP="008E2F10">
            <w:pPr>
              <w:pStyle w:val="MainText"/>
              <w:spacing w:before="120" w:line="240" w:lineRule="auto"/>
              <w:rPr>
                <w:rFonts w:ascii="Arial" w:hAnsi="Arial" w:cs="Arial"/>
                <w:sz w:val="22"/>
                <w:szCs w:val="22"/>
              </w:rPr>
            </w:pPr>
            <w:hyperlink r:id="rId11" w:history="1">
              <w:r w:rsidR="008E2F10" w:rsidRPr="00682600">
                <w:rPr>
                  <w:rStyle w:val="Hyperlink"/>
                  <w:rFonts w:ascii="Arial" w:hAnsi="Arial" w:cs="Arial"/>
                  <w:sz w:val="22"/>
                  <w:szCs w:val="22"/>
                </w:rPr>
                <w:t>andrew.jones@local.gov.uk</w:t>
              </w:r>
            </w:hyperlink>
            <w:r w:rsidR="00992E96" w:rsidRPr="00682600">
              <w:rPr>
                <w:rFonts w:ascii="Arial" w:hAnsi="Arial" w:cs="Arial"/>
                <w:sz w:val="24"/>
                <w:szCs w:val="22"/>
              </w:rPr>
              <w:t xml:space="preserve"> </w:t>
            </w:r>
          </w:p>
        </w:tc>
      </w:tr>
    </w:tbl>
    <w:p w14:paraId="3E832287" w14:textId="77777777" w:rsidR="00992E96" w:rsidRPr="00682600" w:rsidRDefault="00992E96">
      <w:pPr>
        <w:rPr>
          <w:rFonts w:ascii="Arial" w:hAnsi="Arial" w:cs="Arial"/>
          <w:szCs w:val="22"/>
        </w:rPr>
      </w:pPr>
      <w:r w:rsidRPr="00682600">
        <w:rPr>
          <w:rFonts w:ascii="Arial" w:hAnsi="Arial" w:cs="Arial"/>
          <w:szCs w:val="22"/>
        </w:rPr>
        <w:br w:type="page"/>
      </w:r>
    </w:p>
    <w:p w14:paraId="3E832288" w14:textId="77777777" w:rsidR="00992E96" w:rsidRPr="00682600" w:rsidRDefault="00992E96" w:rsidP="00992E96">
      <w:pPr>
        <w:rPr>
          <w:rFonts w:ascii="Arial" w:hAnsi="Arial" w:cs="Arial"/>
          <w:szCs w:val="22"/>
        </w:rPr>
        <w:sectPr w:rsidR="00992E96" w:rsidRPr="00682600" w:rsidSect="00DB0489">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3D4058F9" w:rsidR="00992E96" w:rsidRPr="00682600" w:rsidRDefault="00682600" w:rsidP="0234E103">
      <w:pPr>
        <w:rPr>
          <w:rFonts w:ascii="Arial" w:eastAsia="Arial" w:hAnsi="Arial" w:cs="Arial"/>
        </w:rPr>
      </w:pPr>
      <w:bookmarkStart w:id="2" w:name="MainHeading2"/>
      <w:bookmarkEnd w:id="2"/>
      <w:r w:rsidRPr="00682600">
        <w:rPr>
          <w:rFonts w:ascii="Arial" w:eastAsia="Arial" w:hAnsi="Arial" w:cs="Arial"/>
          <w:b/>
          <w:bCs/>
          <w:sz w:val="28"/>
          <w:szCs w:val="28"/>
        </w:rPr>
        <w:lastRenderedPageBreak/>
        <w:t>General</w:t>
      </w:r>
      <w:r w:rsidR="00DB0489" w:rsidRPr="00682600">
        <w:rPr>
          <w:rFonts w:ascii="Arial" w:eastAsia="Arial" w:hAnsi="Arial" w:cs="Arial"/>
          <w:b/>
          <w:bCs/>
          <w:sz w:val="28"/>
          <w:szCs w:val="28"/>
        </w:rPr>
        <w:t xml:space="preserve"> </w:t>
      </w:r>
      <w:r w:rsidRPr="00682600">
        <w:rPr>
          <w:rFonts w:ascii="Arial" w:eastAsia="Arial" w:hAnsi="Arial" w:cs="Arial"/>
          <w:b/>
          <w:bCs/>
          <w:sz w:val="28"/>
          <w:szCs w:val="28"/>
        </w:rPr>
        <w:t>u</w:t>
      </w:r>
      <w:r w:rsidR="00DB0489" w:rsidRPr="00682600">
        <w:rPr>
          <w:rFonts w:ascii="Arial" w:eastAsia="Arial" w:hAnsi="Arial" w:cs="Arial"/>
          <w:b/>
          <w:bCs/>
          <w:sz w:val="28"/>
          <w:szCs w:val="28"/>
        </w:rPr>
        <w:t>pdate</w:t>
      </w:r>
    </w:p>
    <w:p w14:paraId="3E83228B" w14:textId="77777777" w:rsidR="00992E96" w:rsidRPr="00682600" w:rsidRDefault="00992E96" w:rsidP="00992E96">
      <w:pPr>
        <w:pStyle w:val="MainText"/>
        <w:spacing w:line="240" w:lineRule="auto"/>
        <w:rPr>
          <w:rFonts w:ascii="Arial" w:hAnsi="Arial" w:cs="Arial"/>
          <w:b/>
          <w:color w:val="FF0000"/>
          <w:szCs w:val="22"/>
        </w:rPr>
      </w:pPr>
    </w:p>
    <w:p w14:paraId="27780E38" w14:textId="17AB50A4" w:rsidR="00DB0489" w:rsidRPr="00682600" w:rsidRDefault="0234E103" w:rsidP="00682600">
      <w:pPr>
        <w:textAlignment w:val="center"/>
        <w:rPr>
          <w:rFonts w:ascii="Arial" w:eastAsia="Arial,Calibri" w:hAnsi="Arial" w:cs="Arial"/>
        </w:rPr>
      </w:pPr>
      <w:r w:rsidRPr="00682600">
        <w:rPr>
          <w:rFonts w:ascii="Arial" w:eastAsia="Arial,Calibri" w:hAnsi="Arial" w:cs="Arial"/>
          <w:b/>
          <w:bCs/>
        </w:rPr>
        <w:t>Clean Air Zone submission</w:t>
      </w:r>
    </w:p>
    <w:p w14:paraId="43C6341D" w14:textId="6C8AD54C" w:rsidR="00DB0489" w:rsidRPr="00682600" w:rsidRDefault="00DB0489" w:rsidP="00DB0489">
      <w:pPr>
        <w:textAlignment w:val="center"/>
        <w:rPr>
          <w:rFonts w:ascii="Arial" w:eastAsiaTheme="minorHAnsi" w:hAnsi="Arial" w:cs="Arial"/>
          <w:b/>
          <w:bCs/>
          <w:szCs w:val="22"/>
        </w:rPr>
      </w:pPr>
    </w:p>
    <w:p w14:paraId="25CA1819" w14:textId="77777777"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DEFRA recently consulted on the implementation of Clean Air Zones in England. In the national air quality plan for nitrogen dioxide, published in December 2015, Government committed to consulting on the draft framework for Clean Air Zones in 2016. The plan also set out that the Government would require the implementation of Clean Air Zones in five cities (Birmingham, Derby, Leeds, Nottingham, Southampton).</w:t>
      </w:r>
    </w:p>
    <w:p w14:paraId="550B4F92" w14:textId="77777777" w:rsidR="00DB0489" w:rsidRPr="00682600" w:rsidRDefault="00DB0489" w:rsidP="00682600">
      <w:pPr>
        <w:textAlignment w:val="center"/>
        <w:rPr>
          <w:rFonts w:ascii="Arial" w:eastAsiaTheme="minorHAnsi" w:hAnsi="Arial" w:cs="Arial"/>
          <w:szCs w:val="22"/>
        </w:rPr>
      </w:pPr>
    </w:p>
    <w:p w14:paraId="2DF881BC" w14:textId="77777777"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The consultation sought views on the draft Clean Air Zone Framework, which sets out how Clean Air Zones should be implemented, and on the draft regulation mandating the implementation of Clean Air Zones in the five cities along with the associated impact assessment.</w:t>
      </w:r>
    </w:p>
    <w:p w14:paraId="3195E024" w14:textId="77777777" w:rsidR="00DB0489" w:rsidRPr="00682600" w:rsidRDefault="00DB0489" w:rsidP="00682600">
      <w:pPr>
        <w:textAlignment w:val="center"/>
        <w:rPr>
          <w:rFonts w:ascii="Arial" w:eastAsiaTheme="minorHAnsi" w:hAnsi="Arial" w:cs="Arial"/>
          <w:szCs w:val="22"/>
        </w:rPr>
      </w:pPr>
    </w:p>
    <w:p w14:paraId="5DC48C8F" w14:textId="18E97FFD"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The LGA responded by welcoming</w:t>
      </w:r>
      <w:r w:rsidR="00BD464D">
        <w:rPr>
          <w:rFonts w:ascii="Arial" w:eastAsia="Arial,Calibri" w:hAnsi="Arial" w:cs="Arial"/>
        </w:rPr>
        <w:t xml:space="preserve"> efforts to improve air quality, and noting that the</w:t>
      </w:r>
      <w:r w:rsidRPr="00682600">
        <w:rPr>
          <w:rFonts w:ascii="Arial" w:eastAsia="Arial,Calibri" w:hAnsi="Arial" w:cs="Arial"/>
        </w:rPr>
        <w:t xml:space="preserve"> framework highlights some of the neces</w:t>
      </w:r>
      <w:r w:rsidR="00BD464D">
        <w:rPr>
          <w:rFonts w:ascii="Arial" w:eastAsia="Arial,Calibri" w:hAnsi="Arial" w:cs="Arial"/>
        </w:rPr>
        <w:t>sary measures to do so. However;</w:t>
      </w:r>
    </w:p>
    <w:p w14:paraId="58512EBA" w14:textId="77777777" w:rsidR="00DB0489" w:rsidRPr="00682600" w:rsidRDefault="00DB0489" w:rsidP="00682600">
      <w:pPr>
        <w:textAlignment w:val="center"/>
        <w:rPr>
          <w:rFonts w:ascii="Arial" w:eastAsiaTheme="minorHAnsi" w:hAnsi="Arial" w:cs="Arial"/>
          <w:szCs w:val="22"/>
        </w:rPr>
      </w:pPr>
    </w:p>
    <w:p w14:paraId="4BE3E7AC" w14:textId="77777777" w:rsidR="00682600" w:rsidRPr="00682600" w:rsidRDefault="00682600" w:rsidP="00682600">
      <w:pPr>
        <w:pStyle w:val="ListParagraph"/>
        <w:numPr>
          <w:ilvl w:val="0"/>
          <w:numId w:val="14"/>
        </w:numPr>
        <w:contextualSpacing/>
        <w:textAlignment w:val="center"/>
        <w:rPr>
          <w:rFonts w:ascii="Arial" w:eastAsia="Arial,Calibri" w:hAnsi="Arial" w:cs="Arial"/>
          <w:vanish/>
        </w:rPr>
      </w:pPr>
    </w:p>
    <w:p w14:paraId="64514157" w14:textId="77777777" w:rsidR="00682600" w:rsidRPr="00682600" w:rsidRDefault="00682600" w:rsidP="00682600">
      <w:pPr>
        <w:pStyle w:val="ListParagraph"/>
        <w:numPr>
          <w:ilvl w:val="0"/>
          <w:numId w:val="14"/>
        </w:numPr>
        <w:contextualSpacing/>
        <w:textAlignment w:val="center"/>
        <w:rPr>
          <w:rFonts w:ascii="Arial" w:eastAsia="Arial,Calibri" w:hAnsi="Arial" w:cs="Arial"/>
          <w:vanish/>
        </w:rPr>
      </w:pPr>
    </w:p>
    <w:p w14:paraId="0D6796E1" w14:textId="77777777" w:rsidR="00682600" w:rsidRPr="00682600" w:rsidRDefault="00682600" w:rsidP="00682600">
      <w:pPr>
        <w:pStyle w:val="ListParagraph"/>
        <w:numPr>
          <w:ilvl w:val="0"/>
          <w:numId w:val="14"/>
        </w:numPr>
        <w:contextualSpacing/>
        <w:textAlignment w:val="center"/>
        <w:rPr>
          <w:rFonts w:ascii="Arial" w:eastAsia="Arial,Calibri" w:hAnsi="Arial" w:cs="Arial"/>
          <w:vanish/>
        </w:rPr>
      </w:pPr>
    </w:p>
    <w:p w14:paraId="3D7A7B2C" w14:textId="4D20C22E" w:rsidR="00DB0489" w:rsidRDefault="0234E103" w:rsidP="00682600">
      <w:pPr>
        <w:numPr>
          <w:ilvl w:val="1"/>
          <w:numId w:val="14"/>
        </w:numPr>
        <w:contextualSpacing/>
        <w:textAlignment w:val="center"/>
        <w:rPr>
          <w:rFonts w:ascii="Arial" w:eastAsia="Arial,Calibri" w:hAnsi="Arial" w:cs="Arial"/>
        </w:rPr>
      </w:pPr>
      <w:r w:rsidRPr="00682600">
        <w:rPr>
          <w:rFonts w:ascii="Arial" w:eastAsia="Arial,Calibri" w:hAnsi="Arial" w:cs="Arial"/>
        </w:rPr>
        <w:t xml:space="preserve">The </w:t>
      </w:r>
      <w:r w:rsidR="00BD464D">
        <w:rPr>
          <w:rFonts w:ascii="Arial" w:eastAsia="Arial,Calibri" w:hAnsi="Arial" w:cs="Arial"/>
        </w:rPr>
        <w:t>framework</w:t>
      </w:r>
      <w:r w:rsidRPr="00682600">
        <w:rPr>
          <w:rFonts w:ascii="Arial" w:eastAsia="Arial,Calibri" w:hAnsi="Arial" w:cs="Arial"/>
        </w:rPr>
        <w:t xml:space="preserve"> is not ambitious enough and will not drive the national improvement that is needed.</w:t>
      </w:r>
    </w:p>
    <w:p w14:paraId="04F8A220" w14:textId="77777777" w:rsidR="00682600" w:rsidRPr="00682600" w:rsidRDefault="00682600" w:rsidP="00682600">
      <w:pPr>
        <w:ind w:left="792"/>
        <w:contextualSpacing/>
        <w:textAlignment w:val="center"/>
        <w:rPr>
          <w:rFonts w:ascii="Arial" w:eastAsia="Arial,Calibri" w:hAnsi="Arial" w:cs="Arial"/>
        </w:rPr>
      </w:pPr>
    </w:p>
    <w:p w14:paraId="1ED42C84" w14:textId="6A4ED775" w:rsidR="00DB0489" w:rsidRPr="00682600" w:rsidRDefault="0234E103" w:rsidP="00682600">
      <w:pPr>
        <w:numPr>
          <w:ilvl w:val="1"/>
          <w:numId w:val="14"/>
        </w:numPr>
        <w:contextualSpacing/>
        <w:textAlignment w:val="center"/>
        <w:rPr>
          <w:rFonts w:ascii="Arial" w:eastAsia="Arial,Calibri" w:hAnsi="Arial" w:cs="Arial"/>
        </w:rPr>
      </w:pPr>
      <w:r w:rsidRPr="00682600">
        <w:rPr>
          <w:rFonts w:ascii="Arial" w:eastAsia="Arial,Calibri" w:hAnsi="Arial" w:cs="Arial"/>
        </w:rPr>
        <w:t xml:space="preserve">The </w:t>
      </w:r>
      <w:r w:rsidR="00BD464D">
        <w:rPr>
          <w:rFonts w:ascii="Arial" w:eastAsia="Arial,Calibri" w:hAnsi="Arial" w:cs="Arial"/>
        </w:rPr>
        <w:t>framework</w:t>
      </w:r>
      <w:r w:rsidRPr="00682600">
        <w:rPr>
          <w:rFonts w:ascii="Arial" w:eastAsia="Arial,Calibri" w:hAnsi="Arial" w:cs="Arial"/>
        </w:rPr>
        <w:t xml:space="preserve"> does not acknowledge how difficult the measures will be to deliver.</w:t>
      </w:r>
    </w:p>
    <w:p w14:paraId="48330CCC" w14:textId="77777777" w:rsidR="00682600" w:rsidRDefault="00682600" w:rsidP="00682600">
      <w:pPr>
        <w:ind w:left="792"/>
        <w:contextualSpacing/>
        <w:textAlignment w:val="center"/>
        <w:rPr>
          <w:rFonts w:ascii="Arial" w:eastAsia="Arial,Calibri" w:hAnsi="Arial" w:cs="Arial"/>
        </w:rPr>
      </w:pPr>
    </w:p>
    <w:p w14:paraId="4CBC7C26" w14:textId="77777777" w:rsidR="00DB0489" w:rsidRPr="00682600" w:rsidRDefault="0234E103" w:rsidP="00682600">
      <w:pPr>
        <w:numPr>
          <w:ilvl w:val="1"/>
          <w:numId w:val="14"/>
        </w:numPr>
        <w:contextualSpacing/>
        <w:textAlignment w:val="center"/>
        <w:rPr>
          <w:rFonts w:ascii="Arial" w:eastAsia="Arial,Calibri" w:hAnsi="Arial" w:cs="Arial"/>
        </w:rPr>
      </w:pPr>
      <w:r w:rsidRPr="00682600">
        <w:rPr>
          <w:rFonts w:ascii="Arial" w:eastAsia="Arial,Calibri" w:hAnsi="Arial" w:cs="Arial"/>
        </w:rPr>
        <w:t>The powers proposed are not backed by the resources needed to make them realistic, specifically ongoing revenue funding.</w:t>
      </w:r>
    </w:p>
    <w:p w14:paraId="491768AD" w14:textId="77777777" w:rsidR="00682600" w:rsidRDefault="00682600" w:rsidP="00682600">
      <w:pPr>
        <w:ind w:left="792"/>
        <w:contextualSpacing/>
        <w:textAlignment w:val="center"/>
        <w:rPr>
          <w:rFonts w:ascii="Arial" w:eastAsia="Arial,Calibri" w:hAnsi="Arial" w:cs="Arial"/>
        </w:rPr>
      </w:pPr>
    </w:p>
    <w:p w14:paraId="75F3A07B" w14:textId="77777777" w:rsidR="00DB0489" w:rsidRPr="00682600" w:rsidRDefault="0234E103" w:rsidP="00682600">
      <w:pPr>
        <w:numPr>
          <w:ilvl w:val="1"/>
          <w:numId w:val="14"/>
        </w:numPr>
        <w:contextualSpacing/>
        <w:textAlignment w:val="center"/>
        <w:rPr>
          <w:rFonts w:ascii="Arial" w:eastAsia="Arial,Calibri" w:hAnsi="Arial" w:cs="Arial"/>
        </w:rPr>
      </w:pPr>
      <w:r w:rsidRPr="00682600">
        <w:rPr>
          <w:rFonts w:ascii="Arial" w:eastAsia="Arial,Calibri" w:hAnsi="Arial" w:cs="Arial"/>
        </w:rPr>
        <w:t>There is considerable uncertainty about the assumptions underpinning the strategy after the Client Earth judgement.</w:t>
      </w:r>
    </w:p>
    <w:p w14:paraId="0F86B5F7" w14:textId="77777777" w:rsidR="00682600" w:rsidRDefault="00682600" w:rsidP="00682600">
      <w:pPr>
        <w:ind w:left="792"/>
        <w:contextualSpacing/>
        <w:textAlignment w:val="center"/>
        <w:rPr>
          <w:rFonts w:ascii="Arial" w:eastAsia="Arial,Calibri" w:hAnsi="Arial" w:cs="Arial"/>
        </w:rPr>
      </w:pPr>
    </w:p>
    <w:p w14:paraId="1E60975B" w14:textId="77777777" w:rsidR="00DB0489" w:rsidRPr="00682600" w:rsidRDefault="0234E103" w:rsidP="00682600">
      <w:pPr>
        <w:numPr>
          <w:ilvl w:val="1"/>
          <w:numId w:val="14"/>
        </w:numPr>
        <w:contextualSpacing/>
        <w:textAlignment w:val="center"/>
        <w:rPr>
          <w:rFonts w:ascii="Arial" w:eastAsia="Arial,Calibri" w:hAnsi="Arial" w:cs="Arial"/>
        </w:rPr>
      </w:pPr>
      <w:r w:rsidRPr="00682600">
        <w:rPr>
          <w:rFonts w:ascii="Arial" w:eastAsia="Arial,Calibri" w:hAnsi="Arial" w:cs="Arial"/>
        </w:rPr>
        <w:t>There is considerable concern about the legal basis of a CAZ and how any penalties will impact authorities based on the points above.</w:t>
      </w:r>
    </w:p>
    <w:p w14:paraId="7A9B3D85" w14:textId="77777777" w:rsidR="00DB0489" w:rsidRPr="00682600" w:rsidRDefault="00DB0489" w:rsidP="00682600">
      <w:pPr>
        <w:contextualSpacing/>
        <w:textAlignment w:val="center"/>
        <w:rPr>
          <w:rFonts w:ascii="Arial" w:eastAsiaTheme="minorHAnsi" w:hAnsi="Arial" w:cs="Arial"/>
          <w:szCs w:val="22"/>
        </w:rPr>
      </w:pPr>
    </w:p>
    <w:p w14:paraId="309411C0" w14:textId="5EEFB081"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 xml:space="preserve">Despite our reservations about the </w:t>
      </w:r>
      <w:r w:rsidR="00BD464D">
        <w:rPr>
          <w:rFonts w:ascii="Arial" w:eastAsia="Arial,Calibri" w:hAnsi="Arial" w:cs="Arial"/>
        </w:rPr>
        <w:t>framework</w:t>
      </w:r>
      <w:r w:rsidRPr="00682600">
        <w:rPr>
          <w:rFonts w:ascii="Arial" w:eastAsia="Arial,Calibri" w:hAnsi="Arial" w:cs="Arial"/>
        </w:rPr>
        <w:t xml:space="preserve"> the LGA is supportive of the proposed measures and we would rather the Government improves the </w:t>
      </w:r>
      <w:r w:rsidR="00BD464D">
        <w:rPr>
          <w:rFonts w:ascii="Arial" w:eastAsia="Arial,Calibri" w:hAnsi="Arial" w:cs="Arial"/>
        </w:rPr>
        <w:t>approach</w:t>
      </w:r>
      <w:r w:rsidRPr="00682600">
        <w:rPr>
          <w:rFonts w:ascii="Arial" w:eastAsia="Arial,Calibri" w:hAnsi="Arial" w:cs="Arial"/>
        </w:rPr>
        <w:t xml:space="preserve"> as a result of consultation and engagement rather than delaying it any further.</w:t>
      </w:r>
    </w:p>
    <w:p w14:paraId="3B79C519" w14:textId="77777777" w:rsidR="00DB0489" w:rsidRPr="00682600" w:rsidRDefault="00DB0489" w:rsidP="00DB0489">
      <w:pPr>
        <w:textAlignment w:val="center"/>
        <w:rPr>
          <w:rFonts w:ascii="Arial" w:eastAsiaTheme="minorHAnsi" w:hAnsi="Arial" w:cs="Arial"/>
          <w:szCs w:val="22"/>
        </w:rPr>
      </w:pPr>
    </w:p>
    <w:p w14:paraId="498B1B76" w14:textId="77777777" w:rsidR="00DB0489" w:rsidRPr="00682600" w:rsidRDefault="0234E103" w:rsidP="00682600">
      <w:pPr>
        <w:textAlignment w:val="center"/>
        <w:rPr>
          <w:rFonts w:ascii="Arial" w:eastAsia="Arial,Calibri" w:hAnsi="Arial" w:cs="Arial"/>
        </w:rPr>
      </w:pPr>
      <w:r w:rsidRPr="00682600">
        <w:rPr>
          <w:rFonts w:ascii="Arial" w:eastAsia="Arial,Calibri" w:hAnsi="Arial" w:cs="Arial"/>
          <w:b/>
          <w:bCs/>
        </w:rPr>
        <w:t>Congestion submission</w:t>
      </w:r>
    </w:p>
    <w:p w14:paraId="78A94D5D" w14:textId="77777777" w:rsidR="00DB0489" w:rsidRPr="00682600" w:rsidRDefault="00DB0489" w:rsidP="00DB0489">
      <w:pPr>
        <w:contextualSpacing/>
        <w:rPr>
          <w:rFonts w:ascii="Arial" w:eastAsiaTheme="minorHAnsi" w:hAnsi="Arial" w:cs="Arial"/>
          <w:szCs w:val="22"/>
        </w:rPr>
      </w:pPr>
    </w:p>
    <w:p w14:paraId="1209DE47" w14:textId="77777777" w:rsidR="00DB0489" w:rsidRPr="00682600" w:rsidRDefault="0234E103" w:rsidP="00682600">
      <w:pPr>
        <w:pStyle w:val="ListParagraph"/>
        <w:numPr>
          <w:ilvl w:val="0"/>
          <w:numId w:val="7"/>
        </w:numPr>
        <w:contextualSpacing/>
        <w:rPr>
          <w:rFonts w:ascii="Arial" w:eastAsia="Arial,Calibri" w:hAnsi="Arial" w:cs="Arial"/>
        </w:rPr>
      </w:pPr>
      <w:r w:rsidRPr="00682600">
        <w:rPr>
          <w:rFonts w:ascii="Arial" w:eastAsia="Arial,Calibri" w:hAnsi="Arial" w:cs="Arial"/>
        </w:rPr>
        <w:t>The Transport Select Committee is carrying out an inquiry on urban congestion. Its aim is to identify cost-effective and safe strategies for managing limited road space in towns and cities, minimising disruption to local communities and businesses, and keeping urban traffic flowing. The LGA has submitted written evidence.</w:t>
      </w:r>
    </w:p>
    <w:p w14:paraId="1FA0F614" w14:textId="77777777" w:rsidR="00DB0489" w:rsidRPr="00682600" w:rsidRDefault="00DB0489" w:rsidP="00DB0489">
      <w:pPr>
        <w:contextualSpacing/>
        <w:rPr>
          <w:rFonts w:ascii="Arial" w:eastAsiaTheme="minorHAnsi" w:hAnsi="Arial" w:cs="Arial"/>
          <w:szCs w:val="22"/>
        </w:rPr>
      </w:pPr>
    </w:p>
    <w:p w14:paraId="7D0D1E26" w14:textId="0A9B6510" w:rsidR="00DB0489" w:rsidRPr="00682600" w:rsidRDefault="00BD464D" w:rsidP="00682600">
      <w:pPr>
        <w:pStyle w:val="ListParagraph"/>
        <w:numPr>
          <w:ilvl w:val="0"/>
          <w:numId w:val="7"/>
        </w:numPr>
        <w:contextualSpacing/>
        <w:rPr>
          <w:rFonts w:ascii="Arial" w:eastAsia="Arial,Calibri" w:hAnsi="Arial" w:cs="Arial"/>
        </w:rPr>
      </w:pPr>
      <w:r>
        <w:rPr>
          <w:rFonts w:ascii="Arial" w:eastAsia="Arial,Calibri" w:hAnsi="Arial" w:cs="Arial"/>
        </w:rPr>
        <w:t>The LGA has</w:t>
      </w:r>
      <w:r w:rsidR="0234E103" w:rsidRPr="00682600">
        <w:rPr>
          <w:rFonts w:ascii="Arial" w:eastAsia="Arial,Calibri" w:hAnsi="Arial" w:cs="Arial"/>
        </w:rPr>
        <w:t xml:space="preserve"> replied to say congestion in our town and cities has a major cost for society, the economy and councils. It affects all road users, and can result in lost productivity, affect the viability of public transport and increase social isolation. Local councils that are also highways authorities have a responsibility to make best use of existing roads for the benefit of all road users. However, councils’ powers are curtailed in ways that reduce their ability to manage congestion.</w:t>
      </w:r>
    </w:p>
    <w:p w14:paraId="7B4AA38B" w14:textId="77777777" w:rsidR="00DB0489" w:rsidRPr="00682600" w:rsidRDefault="00DB0489" w:rsidP="00DB0489">
      <w:pPr>
        <w:textAlignment w:val="center"/>
        <w:rPr>
          <w:rFonts w:ascii="Arial" w:eastAsiaTheme="minorHAnsi" w:hAnsi="Arial" w:cs="Arial"/>
          <w:szCs w:val="22"/>
        </w:rPr>
      </w:pPr>
    </w:p>
    <w:p w14:paraId="7971028E" w14:textId="77777777"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lastRenderedPageBreak/>
        <w:t>Greater powers should be given to local authorities to tackle urban congestion. We would like the following to be available for all local authorities who wish to make use of them:</w:t>
      </w:r>
    </w:p>
    <w:p w14:paraId="7F7BF38C" w14:textId="77777777" w:rsidR="00DB0489" w:rsidRPr="00682600" w:rsidRDefault="00DB0489" w:rsidP="00DB0489">
      <w:pPr>
        <w:textAlignment w:val="center"/>
        <w:rPr>
          <w:rFonts w:ascii="Arial" w:eastAsiaTheme="minorHAnsi" w:hAnsi="Arial" w:cs="Arial"/>
          <w:szCs w:val="22"/>
        </w:rPr>
      </w:pPr>
    </w:p>
    <w:p w14:paraId="53F8D223"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720A4EF8"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46B92FAA"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7B074FE5"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6E1AE29D"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4C2CA090"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31F2F849" w14:textId="77777777" w:rsidR="00682600" w:rsidRPr="00682600" w:rsidRDefault="00682600" w:rsidP="00682600">
      <w:pPr>
        <w:pStyle w:val="ListParagraph"/>
        <w:numPr>
          <w:ilvl w:val="0"/>
          <w:numId w:val="15"/>
        </w:numPr>
        <w:contextualSpacing/>
        <w:textAlignment w:val="center"/>
        <w:rPr>
          <w:rFonts w:ascii="Arial" w:eastAsia="Arial,Calibri" w:hAnsi="Arial" w:cs="Arial"/>
          <w:vanish/>
        </w:rPr>
      </w:pPr>
    </w:p>
    <w:p w14:paraId="513B4CB3" w14:textId="67187FFD" w:rsidR="00DB0489" w:rsidRPr="00682600" w:rsidRDefault="0234E103" w:rsidP="00682600">
      <w:pPr>
        <w:numPr>
          <w:ilvl w:val="1"/>
          <w:numId w:val="15"/>
        </w:numPr>
        <w:contextualSpacing/>
        <w:textAlignment w:val="center"/>
        <w:rPr>
          <w:rFonts w:ascii="Arial" w:eastAsia="Arial,Calibri" w:hAnsi="Arial" w:cs="Arial"/>
        </w:rPr>
      </w:pPr>
      <w:r w:rsidRPr="00682600">
        <w:rPr>
          <w:rFonts w:ascii="Arial" w:eastAsia="Arial,Calibri" w:hAnsi="Arial" w:cs="Arial"/>
        </w:rPr>
        <w:t>Powers to manage street works including lane rental</w:t>
      </w:r>
    </w:p>
    <w:p w14:paraId="27472CE3" w14:textId="77777777" w:rsidR="00682600" w:rsidRDefault="00682600" w:rsidP="00682600">
      <w:pPr>
        <w:ind w:left="792"/>
        <w:contextualSpacing/>
        <w:textAlignment w:val="center"/>
        <w:rPr>
          <w:rFonts w:ascii="Arial" w:eastAsia="Arial,Calibri" w:hAnsi="Arial" w:cs="Arial"/>
        </w:rPr>
      </w:pPr>
    </w:p>
    <w:p w14:paraId="6AFA5F31" w14:textId="77777777" w:rsidR="00DB0489" w:rsidRPr="00682600" w:rsidRDefault="0234E103" w:rsidP="00682600">
      <w:pPr>
        <w:numPr>
          <w:ilvl w:val="1"/>
          <w:numId w:val="15"/>
        </w:numPr>
        <w:contextualSpacing/>
        <w:textAlignment w:val="center"/>
        <w:rPr>
          <w:rFonts w:ascii="Arial" w:eastAsia="Arial,Calibri" w:hAnsi="Arial" w:cs="Arial"/>
        </w:rPr>
      </w:pPr>
      <w:r w:rsidRPr="00682600">
        <w:rPr>
          <w:rFonts w:ascii="Arial" w:eastAsia="Arial,Calibri" w:hAnsi="Arial" w:cs="Arial"/>
        </w:rPr>
        <w:t>The discretion to introduce workplace parking levy</w:t>
      </w:r>
    </w:p>
    <w:p w14:paraId="3D02F554" w14:textId="77777777" w:rsidR="00682600" w:rsidRDefault="00682600" w:rsidP="00682600">
      <w:pPr>
        <w:ind w:left="792"/>
        <w:contextualSpacing/>
        <w:textAlignment w:val="center"/>
        <w:rPr>
          <w:rFonts w:ascii="Arial" w:eastAsia="Arial,Calibri" w:hAnsi="Arial" w:cs="Arial"/>
        </w:rPr>
      </w:pPr>
    </w:p>
    <w:p w14:paraId="2222D7C9" w14:textId="0680D648" w:rsidR="00DB0489" w:rsidRPr="00682600" w:rsidRDefault="0234E103" w:rsidP="00682600">
      <w:pPr>
        <w:numPr>
          <w:ilvl w:val="1"/>
          <w:numId w:val="15"/>
        </w:numPr>
        <w:contextualSpacing/>
        <w:textAlignment w:val="center"/>
        <w:rPr>
          <w:rFonts w:ascii="Arial" w:eastAsia="Arial,Calibri" w:hAnsi="Arial" w:cs="Arial"/>
        </w:rPr>
      </w:pPr>
      <w:r w:rsidRPr="00682600">
        <w:rPr>
          <w:rFonts w:ascii="Arial" w:eastAsia="Arial,Calibri" w:hAnsi="Arial" w:cs="Arial"/>
        </w:rPr>
        <w:t>Full implementation of Part 6 of the Traffic Management Act 2004</w:t>
      </w:r>
      <w:r w:rsidR="00BD464D">
        <w:rPr>
          <w:rFonts w:ascii="Arial" w:eastAsia="Arial,Calibri" w:hAnsi="Arial" w:cs="Arial"/>
        </w:rPr>
        <w:t>.</w:t>
      </w:r>
    </w:p>
    <w:p w14:paraId="2DBCEC99" w14:textId="77777777" w:rsidR="00DB0489" w:rsidRPr="00682600" w:rsidRDefault="00DB0489" w:rsidP="00DB0489">
      <w:pPr>
        <w:textAlignment w:val="center"/>
        <w:rPr>
          <w:rFonts w:ascii="Arial" w:eastAsiaTheme="minorHAnsi" w:hAnsi="Arial" w:cs="Arial"/>
          <w:szCs w:val="22"/>
        </w:rPr>
      </w:pPr>
    </w:p>
    <w:p w14:paraId="43CD745C" w14:textId="5184317B"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 xml:space="preserve">The funding streams available for tackling congestion and investing in infrastructure are too complex and overly bureaucratic. Currently funding is provided on a competitive basis by a number of different funders in a variety of different funding regimes. The Government’s commitment to simplify transport funding for areas with devolution deals is a positive step, but all authorities need a simplified regime in order to take local decisions on how to best combat congestion. Long term </w:t>
      </w:r>
      <w:r w:rsidR="00BD464D">
        <w:rPr>
          <w:rFonts w:ascii="Arial" w:eastAsia="Arial,Calibri" w:hAnsi="Arial" w:cs="Arial"/>
        </w:rPr>
        <w:t>certainty of funding should be</w:t>
      </w:r>
      <w:r w:rsidRPr="00682600">
        <w:rPr>
          <w:rFonts w:ascii="Arial" w:eastAsia="Arial,Calibri" w:hAnsi="Arial" w:cs="Arial"/>
        </w:rPr>
        <w:t xml:space="preserve"> made available to the sector and it should not be dependent on governance arrangements.</w:t>
      </w:r>
    </w:p>
    <w:p w14:paraId="3BF5D1E7" w14:textId="77777777" w:rsidR="00DB0489" w:rsidRPr="00682600" w:rsidRDefault="00DB0489" w:rsidP="00DB0489">
      <w:pPr>
        <w:textAlignment w:val="center"/>
        <w:rPr>
          <w:rFonts w:ascii="Arial" w:eastAsiaTheme="minorHAnsi" w:hAnsi="Arial" w:cs="Arial"/>
          <w:szCs w:val="22"/>
        </w:rPr>
      </w:pPr>
    </w:p>
    <w:p w14:paraId="608254A5" w14:textId="7F5B648A"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 xml:space="preserve">Finally we would like more co-operation with partners who deliver national infrastructure. We are calling on the Government to ensure Highways England can demonstrate how </w:t>
      </w:r>
      <w:r w:rsidR="00BD464D">
        <w:rPr>
          <w:rFonts w:ascii="Arial" w:eastAsia="Arial,Calibri" w:hAnsi="Arial" w:cs="Arial"/>
        </w:rPr>
        <w:t>its</w:t>
      </w:r>
      <w:r w:rsidRPr="00682600">
        <w:rPr>
          <w:rFonts w:ascii="Arial" w:eastAsia="Arial,Calibri" w:hAnsi="Arial" w:cs="Arial"/>
        </w:rPr>
        <w:t xml:space="preserve"> schemes will mitigate the impact of congestion on local networks. It is important that funding from the Road Investment Strategy should also be spent on local networks. </w:t>
      </w:r>
    </w:p>
    <w:p w14:paraId="02F633F5" w14:textId="77777777" w:rsidR="00DB0489" w:rsidRPr="00682600" w:rsidRDefault="00DB0489" w:rsidP="00DB0489">
      <w:pPr>
        <w:textAlignment w:val="center"/>
        <w:rPr>
          <w:rFonts w:ascii="Arial" w:eastAsiaTheme="minorHAnsi" w:hAnsi="Arial" w:cs="Arial"/>
          <w:szCs w:val="22"/>
        </w:rPr>
      </w:pPr>
    </w:p>
    <w:p w14:paraId="3A33F4B4" w14:textId="77777777" w:rsidR="00DB0489" w:rsidRPr="00682600" w:rsidRDefault="0234E103" w:rsidP="00682600">
      <w:pPr>
        <w:textAlignment w:val="center"/>
        <w:rPr>
          <w:rFonts w:ascii="Arial" w:eastAsia="Arial,Calibri" w:hAnsi="Arial" w:cs="Arial"/>
        </w:rPr>
      </w:pPr>
      <w:r w:rsidRPr="00682600">
        <w:rPr>
          <w:rFonts w:ascii="Arial" w:eastAsia="Arial,Calibri" w:hAnsi="Arial" w:cs="Arial"/>
          <w:b/>
          <w:bCs/>
        </w:rPr>
        <w:t>Bus Services Bill</w:t>
      </w:r>
    </w:p>
    <w:p w14:paraId="763F67CB" w14:textId="77777777" w:rsidR="00DB0489" w:rsidRPr="00682600" w:rsidRDefault="00DB0489" w:rsidP="00DB0489">
      <w:pPr>
        <w:textAlignment w:val="center"/>
        <w:rPr>
          <w:rFonts w:ascii="Arial" w:eastAsiaTheme="minorHAnsi" w:hAnsi="Arial" w:cs="Arial"/>
          <w:szCs w:val="22"/>
        </w:rPr>
      </w:pPr>
    </w:p>
    <w:p w14:paraId="797DD5BF" w14:textId="0720427F"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The Bus Services Bill has now completed its passage through the Lords. It has had its first reading in the Commons and is currently awaiting a second reading. The Bill gives local authorities in England the power to franchise bus services. It also introduces a new regime of partnership working for areas that do not wish to pursue franchising.</w:t>
      </w:r>
    </w:p>
    <w:p w14:paraId="6B7DFC17" w14:textId="77777777" w:rsidR="00DB0489" w:rsidRPr="00682600" w:rsidRDefault="00DB0489" w:rsidP="00DB0489">
      <w:pPr>
        <w:textAlignment w:val="center"/>
        <w:rPr>
          <w:rFonts w:ascii="Arial" w:eastAsiaTheme="minorHAnsi" w:hAnsi="Arial" w:cs="Arial"/>
          <w:szCs w:val="22"/>
        </w:rPr>
      </w:pPr>
    </w:p>
    <w:p w14:paraId="5B3CFA5C" w14:textId="7D157EE6" w:rsidR="00DB0489" w:rsidRPr="00682600" w:rsidRDefault="0234E103" w:rsidP="00682600">
      <w:pPr>
        <w:pStyle w:val="ListParagraph"/>
        <w:numPr>
          <w:ilvl w:val="0"/>
          <w:numId w:val="7"/>
        </w:numPr>
        <w:textAlignment w:val="center"/>
        <w:rPr>
          <w:rFonts w:ascii="Arial" w:eastAsia="Arial,Calibri" w:hAnsi="Arial" w:cs="Arial"/>
        </w:rPr>
      </w:pPr>
      <w:r w:rsidRPr="00682600">
        <w:rPr>
          <w:rFonts w:ascii="Arial" w:eastAsia="Arial,Calibri" w:hAnsi="Arial" w:cs="Arial"/>
        </w:rPr>
        <w:t>The LGA supports the overall aims of the Bus Services Bill. As the most used form of public transport, buses support local economies by connecting communities and providing access to vital public services and jobs. The current bus franchising system needs to be reformed as the current system is too bureaucratic and expensive to pursue. Local transport authorities need a more effective set of powers to improve services for local residents, and reverse the decline of services in areas outside London.</w:t>
      </w:r>
    </w:p>
    <w:p w14:paraId="4D5D8CF0" w14:textId="77777777" w:rsidR="00DB0489" w:rsidRPr="00682600" w:rsidRDefault="00DB0489" w:rsidP="00DB0489">
      <w:pPr>
        <w:textAlignment w:val="center"/>
        <w:rPr>
          <w:rFonts w:ascii="Arial" w:eastAsiaTheme="minorHAnsi" w:hAnsi="Arial" w:cs="Arial"/>
          <w:szCs w:val="22"/>
        </w:rPr>
      </w:pPr>
    </w:p>
    <w:p w14:paraId="18F4B426" w14:textId="43A26DFE" w:rsidR="00DB0489" w:rsidRPr="00682600" w:rsidRDefault="00BD464D" w:rsidP="00682600">
      <w:pPr>
        <w:pStyle w:val="ListParagraph"/>
        <w:numPr>
          <w:ilvl w:val="0"/>
          <w:numId w:val="7"/>
        </w:numPr>
        <w:textAlignment w:val="center"/>
        <w:rPr>
          <w:rFonts w:ascii="Arial" w:eastAsia="Arial,Calibri" w:hAnsi="Arial" w:cs="Arial"/>
        </w:rPr>
      </w:pPr>
      <w:r>
        <w:rPr>
          <w:rFonts w:ascii="Arial" w:eastAsia="Arial,Calibri" w:hAnsi="Arial" w:cs="Arial"/>
        </w:rPr>
        <w:t xml:space="preserve">During its passage through the Lord’s </w:t>
      </w:r>
      <w:r w:rsidR="0234E103" w:rsidRPr="00682600">
        <w:rPr>
          <w:rFonts w:ascii="Arial" w:eastAsia="Arial,Calibri" w:hAnsi="Arial" w:cs="Arial"/>
        </w:rPr>
        <w:t>a number of amendments to the original bill have been passed. Of particular interest to local authorities are:</w:t>
      </w:r>
    </w:p>
    <w:p w14:paraId="7EAFCAED" w14:textId="77777777" w:rsidR="00DB0489" w:rsidRPr="00682600" w:rsidRDefault="00DB0489" w:rsidP="00DB0489">
      <w:pPr>
        <w:textAlignment w:val="center"/>
        <w:rPr>
          <w:rFonts w:ascii="Arial" w:eastAsiaTheme="minorHAnsi" w:hAnsi="Arial" w:cs="Arial"/>
          <w:szCs w:val="22"/>
        </w:rPr>
      </w:pPr>
    </w:p>
    <w:p w14:paraId="68E9742A"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0FC6467F"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2B942904"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1D80D41D"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6A609861"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4883DDB9"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2B3E4ACF"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2186069F"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231BEAAD"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7BACE0D9"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1877274D"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51E87A3C" w14:textId="77777777" w:rsidR="00682600" w:rsidRPr="00682600" w:rsidRDefault="00682600" w:rsidP="00682600">
      <w:pPr>
        <w:pStyle w:val="ListParagraph"/>
        <w:numPr>
          <w:ilvl w:val="0"/>
          <w:numId w:val="16"/>
        </w:numPr>
        <w:contextualSpacing/>
        <w:textAlignment w:val="center"/>
        <w:rPr>
          <w:rFonts w:ascii="Arial" w:eastAsia="Arial,Calibri" w:hAnsi="Arial" w:cs="Arial"/>
          <w:vanish/>
        </w:rPr>
      </w:pPr>
    </w:p>
    <w:p w14:paraId="3908DDFC" w14:textId="2E2B65AD" w:rsidR="00DB0489" w:rsidRPr="00682600" w:rsidRDefault="0234E103" w:rsidP="00682600">
      <w:pPr>
        <w:numPr>
          <w:ilvl w:val="1"/>
          <w:numId w:val="16"/>
        </w:numPr>
        <w:ind w:left="993" w:hanging="633"/>
        <w:contextualSpacing/>
        <w:textAlignment w:val="center"/>
        <w:rPr>
          <w:rFonts w:ascii="Arial" w:eastAsia="Arial,Calibri" w:hAnsi="Arial" w:cs="Arial"/>
        </w:rPr>
      </w:pPr>
      <w:r w:rsidRPr="00682600">
        <w:rPr>
          <w:rFonts w:ascii="Arial" w:eastAsia="Arial,Calibri" w:hAnsi="Arial" w:cs="Arial"/>
        </w:rPr>
        <w:t>Amendment to clauses 4-6 of the bill to allow all authorities the automatic access to franchising powers not just those  with elected Mayors.</w:t>
      </w:r>
    </w:p>
    <w:p w14:paraId="0536BC18" w14:textId="77777777" w:rsidR="00682600" w:rsidRDefault="00682600" w:rsidP="00682600">
      <w:pPr>
        <w:ind w:left="993" w:hanging="633"/>
        <w:contextualSpacing/>
        <w:textAlignment w:val="center"/>
        <w:rPr>
          <w:rFonts w:ascii="Arial" w:eastAsia="Arial,Calibri" w:hAnsi="Arial" w:cs="Arial"/>
        </w:rPr>
      </w:pPr>
    </w:p>
    <w:p w14:paraId="2438D800" w14:textId="20150F8B" w:rsidR="00DB0489" w:rsidRPr="00682600" w:rsidRDefault="0234E103" w:rsidP="00682600">
      <w:pPr>
        <w:numPr>
          <w:ilvl w:val="1"/>
          <w:numId w:val="16"/>
        </w:numPr>
        <w:ind w:left="993" w:hanging="633"/>
        <w:contextualSpacing/>
        <w:textAlignment w:val="center"/>
        <w:rPr>
          <w:rFonts w:ascii="Arial" w:eastAsia="Arial,Calibri" w:hAnsi="Arial" w:cs="Arial"/>
        </w:rPr>
      </w:pPr>
      <w:r w:rsidRPr="00682600">
        <w:rPr>
          <w:rFonts w:ascii="Arial" w:eastAsia="Arial,Calibri" w:hAnsi="Arial" w:cs="Arial"/>
        </w:rPr>
        <w:t>Amendment  to clause 21 removing restrictions on local authorities’ ability to set up new municipal bus companies.</w:t>
      </w:r>
    </w:p>
    <w:p w14:paraId="33C34E78" w14:textId="77777777" w:rsidR="00DB0489" w:rsidRPr="00682600" w:rsidRDefault="00DB0489" w:rsidP="00DB0489">
      <w:pPr>
        <w:ind w:firstLine="60"/>
        <w:textAlignment w:val="center"/>
        <w:rPr>
          <w:rFonts w:ascii="Arial" w:eastAsiaTheme="minorHAnsi" w:hAnsi="Arial" w:cs="Arial"/>
          <w:szCs w:val="22"/>
        </w:rPr>
      </w:pPr>
    </w:p>
    <w:p w14:paraId="66A61C98" w14:textId="76A7CA32" w:rsidR="00DB0489" w:rsidRPr="00682600" w:rsidRDefault="00BD464D" w:rsidP="00682600">
      <w:pPr>
        <w:pStyle w:val="ListParagraph"/>
        <w:numPr>
          <w:ilvl w:val="0"/>
          <w:numId w:val="7"/>
        </w:numPr>
        <w:textAlignment w:val="center"/>
        <w:rPr>
          <w:rFonts w:ascii="Arial" w:eastAsia="Arial,Calibri" w:hAnsi="Arial" w:cs="Arial"/>
        </w:rPr>
      </w:pPr>
      <w:r>
        <w:rPr>
          <w:rFonts w:ascii="Arial" w:eastAsia="Arial,Calibri" w:hAnsi="Arial" w:cs="Arial"/>
        </w:rPr>
        <w:t xml:space="preserve">The Bill returns to the Commons in the new year. </w:t>
      </w:r>
      <w:r w:rsidR="0234E103" w:rsidRPr="00682600">
        <w:rPr>
          <w:rFonts w:ascii="Arial" w:eastAsia="Arial,Calibri" w:hAnsi="Arial" w:cs="Arial"/>
        </w:rPr>
        <w:t xml:space="preserve">We are in ongoing discussions with the </w:t>
      </w:r>
      <w:proofErr w:type="spellStart"/>
      <w:r w:rsidR="0234E103" w:rsidRPr="00682600">
        <w:rPr>
          <w:rFonts w:ascii="Arial" w:eastAsia="Arial,Calibri" w:hAnsi="Arial" w:cs="Arial"/>
        </w:rPr>
        <w:t>DfT</w:t>
      </w:r>
      <w:proofErr w:type="spellEnd"/>
      <w:r w:rsidR="0234E103" w:rsidRPr="00682600">
        <w:rPr>
          <w:rFonts w:ascii="Arial" w:eastAsia="Arial,Calibri" w:hAnsi="Arial" w:cs="Arial"/>
        </w:rPr>
        <w:t xml:space="preserve"> about the guidance and secondary legislation that will enable the bill. We expect formal consultation on these elements in the New Year and are pressing the Government to make the powers to either franchise, or agree a partnership as simple as possible.  </w:t>
      </w:r>
    </w:p>
    <w:p w14:paraId="0DA3EC9B" w14:textId="77777777" w:rsidR="00DB0489" w:rsidRPr="00682600" w:rsidRDefault="00DB0489" w:rsidP="00DB0489">
      <w:pPr>
        <w:rPr>
          <w:rFonts w:ascii="Arial" w:eastAsiaTheme="minorHAnsi" w:hAnsi="Arial" w:cs="Arial"/>
          <w:b/>
          <w:bCs/>
          <w:szCs w:val="22"/>
        </w:rPr>
      </w:pPr>
    </w:p>
    <w:p w14:paraId="64B8B3AC" w14:textId="77777777" w:rsidR="00DB0489" w:rsidRPr="00682600" w:rsidRDefault="0234E103" w:rsidP="00682600">
      <w:pPr>
        <w:rPr>
          <w:rFonts w:ascii="Arial" w:eastAsia="Arial,Calibri" w:hAnsi="Arial" w:cs="Arial"/>
          <w:lang w:eastAsia="en-US"/>
        </w:rPr>
      </w:pPr>
      <w:r w:rsidRPr="00682600">
        <w:rPr>
          <w:rFonts w:ascii="Arial" w:eastAsia="Arial,Calibri" w:hAnsi="Arial" w:cs="Arial"/>
          <w:b/>
          <w:bCs/>
        </w:rPr>
        <w:t>Highways England growth report</w:t>
      </w:r>
    </w:p>
    <w:p w14:paraId="1CD1C49F" w14:textId="77777777" w:rsidR="00DB0489" w:rsidRPr="00682600" w:rsidRDefault="00DB0489" w:rsidP="00DB0489">
      <w:pPr>
        <w:rPr>
          <w:rFonts w:ascii="Arial" w:eastAsiaTheme="minorHAnsi" w:hAnsi="Arial" w:cs="Arial"/>
          <w:szCs w:val="22"/>
          <w:lang w:eastAsia="en-US"/>
        </w:rPr>
      </w:pPr>
    </w:p>
    <w:p w14:paraId="3670DA42" w14:textId="77777777" w:rsidR="00DB0489" w:rsidRPr="00682600" w:rsidRDefault="0234E103" w:rsidP="00682600">
      <w:pPr>
        <w:pStyle w:val="ListParagraph"/>
        <w:numPr>
          <w:ilvl w:val="0"/>
          <w:numId w:val="7"/>
        </w:numPr>
        <w:rPr>
          <w:rFonts w:ascii="Arial" w:eastAsia="Arial,Calibri" w:hAnsi="Arial" w:cs="Arial"/>
          <w:lang w:eastAsia="en-US"/>
        </w:rPr>
      </w:pPr>
      <w:r w:rsidRPr="00682600">
        <w:rPr>
          <w:rFonts w:ascii="Arial" w:eastAsia="Arial,Calibri" w:hAnsi="Arial" w:cs="Arial"/>
          <w:lang w:eastAsia="en-US"/>
        </w:rPr>
        <w:t>Highways England operates, maintains and improves England’s strategic road network (SRN) – the country’s motorways and major A roads. Highways England has published a strategic economic growth discussion paper for maximising the economic contribution of the SRN entitled the Road to Growth.</w:t>
      </w:r>
    </w:p>
    <w:p w14:paraId="2271EF4B" w14:textId="77777777" w:rsidR="00DB0489" w:rsidRPr="00682600" w:rsidRDefault="00DB0489" w:rsidP="00DB0489">
      <w:pPr>
        <w:rPr>
          <w:rFonts w:ascii="Arial" w:eastAsiaTheme="minorHAnsi" w:hAnsi="Arial" w:cs="Arial"/>
          <w:szCs w:val="22"/>
          <w:lang w:eastAsia="en-US"/>
        </w:rPr>
      </w:pPr>
    </w:p>
    <w:p w14:paraId="07F5D782" w14:textId="0466B039" w:rsidR="00DB0489" w:rsidRPr="00682600" w:rsidRDefault="0234E103" w:rsidP="00682600">
      <w:pPr>
        <w:pStyle w:val="ListParagraph"/>
        <w:numPr>
          <w:ilvl w:val="0"/>
          <w:numId w:val="7"/>
        </w:numPr>
        <w:rPr>
          <w:rFonts w:ascii="Arial" w:eastAsia="Arial,Calibri" w:hAnsi="Arial" w:cs="Arial"/>
          <w:lang w:eastAsia="en-US"/>
        </w:rPr>
      </w:pPr>
      <w:r w:rsidRPr="00682600">
        <w:rPr>
          <w:rFonts w:ascii="Arial" w:eastAsia="Arial,Calibri" w:hAnsi="Arial" w:cs="Arial"/>
          <w:lang w:eastAsia="en-US"/>
        </w:rPr>
        <w:t xml:space="preserve">We are pleased that Highways England is examining the economic impact that its decisions will have and in particular we welcome Highways England’s commitment to review how it can help deliver local growth. In order for this approach to be a success it needs to be embedded in local teams. We will only be able to measure the success of this commitment to local growth by the strength of the local partnerships that are created. </w:t>
      </w:r>
    </w:p>
    <w:p w14:paraId="7D593FBC" w14:textId="77777777" w:rsidR="00DB0489" w:rsidRPr="00682600" w:rsidRDefault="00DB0489" w:rsidP="00DB0489">
      <w:pPr>
        <w:rPr>
          <w:rFonts w:ascii="Arial" w:eastAsiaTheme="minorHAnsi" w:hAnsi="Arial" w:cs="Arial"/>
          <w:szCs w:val="22"/>
          <w:lang w:eastAsia="en-US"/>
        </w:rPr>
      </w:pPr>
    </w:p>
    <w:p w14:paraId="63EF0143" w14:textId="77777777" w:rsidR="00DB0489" w:rsidRPr="00682600" w:rsidRDefault="0234E103" w:rsidP="00682600">
      <w:pPr>
        <w:pStyle w:val="ListParagraph"/>
        <w:numPr>
          <w:ilvl w:val="0"/>
          <w:numId w:val="7"/>
        </w:numPr>
        <w:rPr>
          <w:rFonts w:ascii="Arial" w:eastAsia="Arial,Calibri" w:hAnsi="Arial" w:cs="Arial"/>
          <w:lang w:eastAsia="en-US"/>
        </w:rPr>
      </w:pPr>
      <w:r w:rsidRPr="00682600">
        <w:rPr>
          <w:rFonts w:ascii="Arial" w:eastAsia="Arial,Calibri" w:hAnsi="Arial" w:cs="Arial"/>
          <w:lang w:eastAsia="en-US"/>
        </w:rPr>
        <w:t>The LGA intends to respond to the discussion paper highlighting:</w:t>
      </w:r>
    </w:p>
    <w:p w14:paraId="63104BD1" w14:textId="77777777" w:rsidR="00DB0489" w:rsidRPr="00682600" w:rsidRDefault="00DB0489" w:rsidP="00DB0489">
      <w:pPr>
        <w:rPr>
          <w:rFonts w:ascii="Arial" w:eastAsiaTheme="minorHAnsi" w:hAnsi="Arial" w:cs="Arial"/>
          <w:szCs w:val="22"/>
          <w:lang w:eastAsia="en-US"/>
        </w:rPr>
      </w:pPr>
    </w:p>
    <w:p w14:paraId="7FBBA544"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512C7B1A"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42DB685B"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76A741AD"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6350DF3A"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35840B1A"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1F75C92C"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70531751"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60ED1571"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328D1101"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606B0018"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13E26B6F"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6D0ACD8D"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10CA1E85"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19724983"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15DB5B07" w14:textId="77777777" w:rsidR="00682600" w:rsidRPr="00682600" w:rsidRDefault="00682600" w:rsidP="00682600">
      <w:pPr>
        <w:pStyle w:val="ListParagraph"/>
        <w:numPr>
          <w:ilvl w:val="0"/>
          <w:numId w:val="17"/>
        </w:numPr>
        <w:contextualSpacing/>
        <w:rPr>
          <w:rFonts w:ascii="Arial" w:eastAsia="Arial,Calibri" w:hAnsi="Arial" w:cs="Arial"/>
          <w:vanish/>
          <w:lang w:eastAsia="en-US"/>
        </w:rPr>
      </w:pPr>
    </w:p>
    <w:p w14:paraId="03398106" w14:textId="507AE621" w:rsidR="00DB0489" w:rsidRPr="00682600"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 xml:space="preserve">Local authorities have a wider remit than other areas of the public sector and therefore need the strongest possible engagement from Highways England. </w:t>
      </w:r>
    </w:p>
    <w:p w14:paraId="4770ACDF" w14:textId="77777777" w:rsidR="00682600" w:rsidRDefault="00682600" w:rsidP="00682600">
      <w:pPr>
        <w:ind w:left="993" w:hanging="633"/>
        <w:contextualSpacing/>
        <w:rPr>
          <w:rFonts w:ascii="Arial" w:eastAsia="Arial,Calibri" w:hAnsi="Arial" w:cs="Arial"/>
          <w:lang w:eastAsia="en-US"/>
        </w:rPr>
      </w:pPr>
    </w:p>
    <w:p w14:paraId="50176C77" w14:textId="491ECB9A" w:rsidR="00DB0489" w:rsidRPr="00682600"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We would welcome recognition within Highways England</w:t>
      </w:r>
      <w:r w:rsidR="00BD464D">
        <w:rPr>
          <w:rFonts w:ascii="Arial" w:eastAsia="Arial,Calibri" w:hAnsi="Arial" w:cs="Arial"/>
          <w:lang w:eastAsia="en-US"/>
        </w:rPr>
        <w:t>’s</w:t>
      </w:r>
      <w:r w:rsidRPr="00682600">
        <w:rPr>
          <w:rFonts w:ascii="Arial" w:eastAsia="Arial,Calibri" w:hAnsi="Arial" w:cs="Arial"/>
          <w:lang w:eastAsia="en-US"/>
        </w:rPr>
        <w:t xml:space="preserve"> vision that the strategic route network plays a role within a wider road and transport network. </w:t>
      </w:r>
    </w:p>
    <w:p w14:paraId="02A4A0B7" w14:textId="77777777" w:rsidR="00682600" w:rsidRDefault="00682600" w:rsidP="00682600">
      <w:pPr>
        <w:ind w:left="993" w:hanging="633"/>
        <w:contextualSpacing/>
        <w:rPr>
          <w:rFonts w:ascii="Arial" w:eastAsia="Arial,Calibri" w:hAnsi="Arial" w:cs="Arial"/>
          <w:lang w:eastAsia="en-US"/>
        </w:rPr>
      </w:pPr>
    </w:p>
    <w:p w14:paraId="2DA8EE4C" w14:textId="20405A7B" w:rsidR="00DB0489" w:rsidRPr="00682600"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 xml:space="preserve">Local authorities would particularly welcome a greater recognition of the fact that almost all journeys start and end on local transport networks and therefore local economies will grind to a halt if the interchange between the two networks is not properly integrated. </w:t>
      </w:r>
    </w:p>
    <w:p w14:paraId="7C72308D" w14:textId="77777777" w:rsidR="00682600" w:rsidRDefault="00682600" w:rsidP="00682600">
      <w:pPr>
        <w:ind w:left="993" w:hanging="633"/>
        <w:contextualSpacing/>
        <w:rPr>
          <w:rFonts w:ascii="Arial" w:eastAsia="Arial,Calibri" w:hAnsi="Arial" w:cs="Arial"/>
          <w:lang w:eastAsia="en-US"/>
        </w:rPr>
      </w:pPr>
    </w:p>
    <w:p w14:paraId="44CA94A7" w14:textId="221EAB16" w:rsidR="00DB0489" w:rsidRPr="00682600"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 xml:space="preserve">By concentrating on those businesses that are heavily dependent on the SRN Highways England risks only prioritising its spend on those places where the SRN is already able to provide for businesses, potentially at the expense of other businesses.  </w:t>
      </w:r>
    </w:p>
    <w:p w14:paraId="705057DA" w14:textId="77777777" w:rsidR="00682600" w:rsidRDefault="00682600" w:rsidP="00682600">
      <w:pPr>
        <w:ind w:left="993" w:hanging="633"/>
        <w:contextualSpacing/>
        <w:rPr>
          <w:rFonts w:ascii="Arial" w:eastAsia="Arial,Calibri" w:hAnsi="Arial" w:cs="Arial"/>
          <w:lang w:eastAsia="en-US"/>
        </w:rPr>
      </w:pPr>
    </w:p>
    <w:p w14:paraId="2AB5A99B" w14:textId="5FDBDCED" w:rsidR="00DB0489" w:rsidRPr="00682600"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 xml:space="preserve">We believe there is a case for Highways England to examine whether they could achieve better value for money through supporting investments in local networks. </w:t>
      </w:r>
    </w:p>
    <w:p w14:paraId="2DA83D71" w14:textId="77777777" w:rsidR="00682600" w:rsidRDefault="00682600" w:rsidP="00682600">
      <w:pPr>
        <w:ind w:left="993" w:hanging="633"/>
        <w:contextualSpacing/>
        <w:rPr>
          <w:rFonts w:ascii="Arial" w:eastAsia="Arial,Calibri" w:hAnsi="Arial" w:cs="Arial"/>
          <w:lang w:eastAsia="en-US"/>
        </w:rPr>
      </w:pPr>
    </w:p>
    <w:p w14:paraId="1638581B" w14:textId="679A656A" w:rsidR="00DB0489" w:rsidRDefault="0234E103" w:rsidP="00682600">
      <w:pPr>
        <w:numPr>
          <w:ilvl w:val="1"/>
          <w:numId w:val="17"/>
        </w:numPr>
        <w:ind w:left="993" w:hanging="633"/>
        <w:contextualSpacing/>
        <w:rPr>
          <w:rFonts w:ascii="Arial" w:eastAsia="Arial,Calibri" w:hAnsi="Arial" w:cs="Arial"/>
          <w:lang w:eastAsia="en-US"/>
        </w:rPr>
      </w:pPr>
      <w:r w:rsidRPr="00682600">
        <w:rPr>
          <w:rFonts w:ascii="Arial" w:eastAsia="Arial,Calibri" w:hAnsi="Arial" w:cs="Arial"/>
          <w:lang w:eastAsia="en-US"/>
        </w:rPr>
        <w:t xml:space="preserve">We would like to know how Highways England intends to incorporate the work of Rees Jeffery Fund on a major routes network into its work on economic development. </w:t>
      </w:r>
    </w:p>
    <w:p w14:paraId="12333BFB" w14:textId="77777777" w:rsidR="00682600" w:rsidRDefault="00682600" w:rsidP="00682600">
      <w:pPr>
        <w:pStyle w:val="ListParagraph"/>
        <w:rPr>
          <w:rFonts w:ascii="Arial" w:eastAsia="Arial,Calibri" w:hAnsi="Arial" w:cs="Arial"/>
          <w:lang w:eastAsia="en-US"/>
        </w:rPr>
      </w:pPr>
    </w:p>
    <w:p w14:paraId="58C09DED" w14:textId="461869F6" w:rsidR="00682600" w:rsidRDefault="00682600" w:rsidP="00682600">
      <w:pPr>
        <w:rPr>
          <w:rFonts w:ascii="Arial" w:eastAsia="Arial,Calibri" w:hAnsi="Arial" w:cs="Arial"/>
          <w:b/>
          <w:lang w:eastAsia="en-US"/>
        </w:rPr>
      </w:pPr>
      <w:r>
        <w:rPr>
          <w:rFonts w:ascii="Arial" w:eastAsia="Arial,Calibri" w:hAnsi="Arial" w:cs="Arial"/>
          <w:b/>
          <w:lang w:eastAsia="en-US"/>
        </w:rPr>
        <w:t xml:space="preserve">Meeting with Rt Hon Therese Coffey MP, </w:t>
      </w:r>
      <w:r w:rsidRPr="00682600">
        <w:rPr>
          <w:rFonts w:ascii="Arial" w:eastAsia="Arial,Calibri" w:hAnsi="Arial" w:cs="Arial"/>
          <w:b/>
          <w:lang w:eastAsia="en-US"/>
        </w:rPr>
        <w:t>Parliamentary Under Secretary of State for the Environment and Rural Life Opportunities</w:t>
      </w:r>
      <w:r>
        <w:rPr>
          <w:rFonts w:ascii="Arial" w:eastAsia="Arial,Calibri" w:hAnsi="Arial" w:cs="Arial"/>
          <w:b/>
          <w:lang w:eastAsia="en-US"/>
        </w:rPr>
        <w:t>, Defra</w:t>
      </w:r>
    </w:p>
    <w:p w14:paraId="5A030F8E" w14:textId="77777777" w:rsidR="00682600" w:rsidRPr="00682600" w:rsidRDefault="00682600" w:rsidP="00682600">
      <w:pPr>
        <w:rPr>
          <w:rFonts w:ascii="Arial" w:eastAsia="Arial,Calibri" w:hAnsi="Arial" w:cs="Arial"/>
          <w:b/>
          <w:lang w:eastAsia="en-US"/>
        </w:rPr>
      </w:pPr>
    </w:p>
    <w:p w14:paraId="3211EF37" w14:textId="5958F9F0" w:rsidR="00F82574" w:rsidRDefault="00682600" w:rsidP="005D493C">
      <w:pPr>
        <w:numPr>
          <w:ilvl w:val="0"/>
          <w:numId w:val="17"/>
        </w:numPr>
        <w:contextualSpacing/>
        <w:rPr>
          <w:rFonts w:ascii="Arial" w:eastAsia="Arial,Calibri" w:hAnsi="Arial" w:cs="Arial"/>
          <w:lang w:eastAsia="en-US"/>
        </w:rPr>
      </w:pPr>
      <w:r w:rsidRPr="00682600">
        <w:rPr>
          <w:rFonts w:ascii="Arial" w:eastAsia="Arial,Calibri" w:hAnsi="Arial" w:cs="Arial"/>
          <w:lang w:eastAsia="en-US"/>
        </w:rPr>
        <w:t xml:space="preserve">Councillor Martin Tett met </w:t>
      </w:r>
      <w:r w:rsidR="00BD464D">
        <w:rPr>
          <w:rFonts w:ascii="Arial" w:eastAsia="Arial,Calibri" w:hAnsi="Arial" w:cs="Arial"/>
          <w:lang w:eastAsia="en-US"/>
        </w:rPr>
        <w:t xml:space="preserve">Dr </w:t>
      </w:r>
      <w:r w:rsidRPr="00682600">
        <w:rPr>
          <w:rFonts w:ascii="Arial" w:eastAsia="Arial,Calibri" w:hAnsi="Arial" w:cs="Arial"/>
          <w:lang w:eastAsia="en-US"/>
        </w:rPr>
        <w:t>Therese Coffey MP</w:t>
      </w:r>
      <w:r w:rsidR="00BD464D">
        <w:rPr>
          <w:rFonts w:ascii="Arial" w:eastAsia="Arial,Calibri" w:hAnsi="Arial" w:cs="Arial"/>
          <w:lang w:eastAsia="en-US"/>
        </w:rPr>
        <w:t>, Parliamentary Under Secretary of State for the Environment and Rural Life Opportunities,</w:t>
      </w:r>
      <w:r w:rsidRPr="00682600">
        <w:rPr>
          <w:rFonts w:ascii="Arial" w:eastAsia="Arial,Calibri" w:hAnsi="Arial" w:cs="Arial"/>
          <w:lang w:eastAsia="en-US"/>
        </w:rPr>
        <w:t xml:space="preserve"> on 22 November to discuss areas of mutual interest on the environment, rural issues, flooding, air quality and waste management. It was a positive first meeting and the Minister is keen to build on the relationship and set up further meetings.</w:t>
      </w:r>
    </w:p>
    <w:p w14:paraId="6365629F" w14:textId="77777777" w:rsidR="005D493C" w:rsidRDefault="005D493C" w:rsidP="005D493C">
      <w:pPr>
        <w:contextualSpacing/>
        <w:rPr>
          <w:rFonts w:ascii="Arial" w:eastAsia="Arial,Calibri" w:hAnsi="Arial" w:cs="Arial"/>
          <w:lang w:eastAsia="en-US"/>
        </w:rPr>
      </w:pPr>
    </w:p>
    <w:p w14:paraId="77231B8A" w14:textId="77777777" w:rsidR="00BD464D" w:rsidRDefault="00BD464D" w:rsidP="005D493C">
      <w:pPr>
        <w:contextualSpacing/>
        <w:rPr>
          <w:rFonts w:ascii="Arial" w:eastAsia="Arial,Calibri" w:hAnsi="Arial" w:cs="Arial"/>
          <w:lang w:eastAsia="en-US"/>
        </w:rPr>
      </w:pPr>
    </w:p>
    <w:p w14:paraId="18E4843B" w14:textId="77777777" w:rsidR="00BD464D" w:rsidRDefault="00BD464D" w:rsidP="005D493C">
      <w:pPr>
        <w:contextualSpacing/>
        <w:rPr>
          <w:rFonts w:ascii="Arial" w:eastAsia="Arial,Calibri" w:hAnsi="Arial" w:cs="Arial"/>
          <w:lang w:eastAsia="en-US"/>
        </w:rPr>
      </w:pPr>
    </w:p>
    <w:p w14:paraId="11B19218" w14:textId="77777777" w:rsidR="00BD464D" w:rsidRDefault="00BD464D" w:rsidP="005D493C">
      <w:pPr>
        <w:contextualSpacing/>
        <w:rPr>
          <w:rFonts w:ascii="Arial" w:eastAsia="Arial,Calibri" w:hAnsi="Arial" w:cs="Arial"/>
          <w:lang w:eastAsia="en-US"/>
        </w:rPr>
      </w:pPr>
    </w:p>
    <w:p w14:paraId="53257A03" w14:textId="2F252B86" w:rsidR="005D493C" w:rsidRDefault="005D493C" w:rsidP="005D493C">
      <w:pPr>
        <w:contextualSpacing/>
        <w:rPr>
          <w:rFonts w:ascii="Arial" w:eastAsia="Arial,Calibri" w:hAnsi="Arial" w:cs="Arial"/>
          <w:b/>
          <w:lang w:eastAsia="en-US"/>
        </w:rPr>
      </w:pPr>
      <w:r>
        <w:rPr>
          <w:rFonts w:ascii="Arial" w:eastAsia="Arial,Calibri" w:hAnsi="Arial" w:cs="Arial"/>
          <w:b/>
          <w:lang w:eastAsia="en-US"/>
        </w:rPr>
        <w:lastRenderedPageBreak/>
        <w:t>Autumn State</w:t>
      </w:r>
      <w:r w:rsidR="00CE465B">
        <w:rPr>
          <w:rFonts w:ascii="Arial" w:eastAsia="Arial,Calibri" w:hAnsi="Arial" w:cs="Arial"/>
          <w:b/>
          <w:lang w:eastAsia="en-US"/>
        </w:rPr>
        <w:t>ment</w:t>
      </w:r>
    </w:p>
    <w:p w14:paraId="034E6EAA" w14:textId="77777777" w:rsidR="005D493C" w:rsidRPr="005D493C" w:rsidRDefault="005D493C" w:rsidP="005D493C">
      <w:pPr>
        <w:contextualSpacing/>
        <w:rPr>
          <w:rFonts w:ascii="Arial" w:eastAsia="Arial,Calibri" w:hAnsi="Arial" w:cs="Arial"/>
          <w:b/>
          <w:lang w:eastAsia="en-US"/>
        </w:rPr>
      </w:pPr>
    </w:p>
    <w:p w14:paraId="3968C2AB" w14:textId="6BFD7FF7" w:rsidR="007F190B" w:rsidRDefault="005D493C" w:rsidP="007F190B">
      <w:pPr>
        <w:numPr>
          <w:ilvl w:val="0"/>
          <w:numId w:val="17"/>
        </w:numPr>
        <w:contextualSpacing/>
        <w:rPr>
          <w:rFonts w:ascii="Arial" w:eastAsia="Arial,Calibri" w:hAnsi="Arial" w:cs="Arial"/>
          <w:lang w:eastAsia="en-US"/>
        </w:rPr>
      </w:pPr>
      <w:r w:rsidRPr="005D493C">
        <w:rPr>
          <w:rFonts w:ascii="Arial" w:eastAsia="Arial,Calibri" w:hAnsi="Arial" w:cs="Arial"/>
          <w:lang w:eastAsia="en-US"/>
        </w:rPr>
        <w:t>The Chancellor of the Exchequer</w:t>
      </w:r>
      <w:r>
        <w:rPr>
          <w:rFonts w:ascii="Arial" w:eastAsia="Arial,Calibri" w:hAnsi="Arial" w:cs="Arial"/>
          <w:lang w:eastAsia="en-US"/>
        </w:rPr>
        <w:t>, the Rt Hon Philip Hammond MP,</w:t>
      </w:r>
      <w:r w:rsidRPr="005D493C">
        <w:rPr>
          <w:rFonts w:ascii="Arial" w:eastAsia="Arial,Calibri" w:hAnsi="Arial" w:cs="Arial"/>
          <w:lang w:eastAsia="en-US"/>
        </w:rPr>
        <w:t xml:space="preserve"> delivered his Autumn Statement to Parliament on </w:t>
      </w:r>
      <w:r>
        <w:rPr>
          <w:rFonts w:ascii="Arial" w:eastAsia="Arial,Calibri" w:hAnsi="Arial" w:cs="Arial"/>
          <w:lang w:eastAsia="en-US"/>
        </w:rPr>
        <w:t xml:space="preserve">Wednesday </w:t>
      </w:r>
      <w:r w:rsidRPr="005D493C">
        <w:rPr>
          <w:rFonts w:ascii="Arial" w:eastAsia="Arial,Calibri" w:hAnsi="Arial" w:cs="Arial"/>
          <w:lang w:eastAsia="en-US"/>
        </w:rPr>
        <w:t>23</w:t>
      </w:r>
      <w:r w:rsidRPr="005D493C">
        <w:rPr>
          <w:rFonts w:ascii="Arial" w:eastAsia="Arial,Calibri" w:hAnsi="Arial" w:cs="Arial"/>
          <w:vertAlign w:val="superscript"/>
          <w:lang w:eastAsia="en-US"/>
        </w:rPr>
        <w:t>rd</w:t>
      </w:r>
      <w:r>
        <w:rPr>
          <w:rFonts w:ascii="Arial" w:eastAsia="Arial,Calibri" w:hAnsi="Arial" w:cs="Arial"/>
          <w:lang w:eastAsia="en-US"/>
        </w:rPr>
        <w:t xml:space="preserve"> </w:t>
      </w:r>
      <w:r w:rsidRPr="005D493C">
        <w:rPr>
          <w:rFonts w:ascii="Arial" w:eastAsia="Arial,Calibri" w:hAnsi="Arial" w:cs="Arial"/>
          <w:lang w:eastAsia="en-US"/>
        </w:rPr>
        <w:t>November 2016</w:t>
      </w:r>
      <w:r>
        <w:rPr>
          <w:rFonts w:ascii="Arial" w:eastAsia="Arial,Calibri" w:hAnsi="Arial" w:cs="Arial"/>
          <w:lang w:eastAsia="en-US"/>
        </w:rPr>
        <w:t xml:space="preserve">. </w:t>
      </w:r>
      <w:r w:rsidR="00BD464D">
        <w:rPr>
          <w:rFonts w:ascii="Arial" w:eastAsia="Arial,Calibri" w:hAnsi="Arial" w:cs="Arial"/>
          <w:lang w:eastAsia="en-US"/>
        </w:rPr>
        <w:t>The</w:t>
      </w:r>
      <w:r>
        <w:rPr>
          <w:rFonts w:ascii="Arial" w:eastAsia="Arial,Calibri" w:hAnsi="Arial" w:cs="Arial"/>
          <w:lang w:eastAsia="en-US"/>
        </w:rPr>
        <w:t xml:space="preserve"> LGA on the day briefing can be found </w:t>
      </w:r>
      <w:hyperlink r:id="rId15" w:history="1">
        <w:r w:rsidRPr="007F190B">
          <w:rPr>
            <w:rStyle w:val="Hyperlink"/>
            <w:rFonts w:ascii="Arial" w:eastAsia="Arial,Calibri" w:hAnsi="Arial" w:cs="Arial"/>
            <w:lang w:eastAsia="en-US"/>
          </w:rPr>
          <w:t>here</w:t>
        </w:r>
      </w:hyperlink>
      <w:r>
        <w:rPr>
          <w:rFonts w:ascii="Arial" w:eastAsia="Arial,Calibri" w:hAnsi="Arial" w:cs="Arial"/>
          <w:lang w:eastAsia="en-US"/>
        </w:rPr>
        <w:t>. Th</w:t>
      </w:r>
      <w:r w:rsidR="00A91A60">
        <w:rPr>
          <w:rFonts w:ascii="Arial" w:eastAsia="Arial,Calibri" w:hAnsi="Arial" w:cs="Arial"/>
          <w:lang w:eastAsia="en-US"/>
        </w:rPr>
        <w:t>e key messages for the board inc</w:t>
      </w:r>
      <w:r w:rsidR="007F190B">
        <w:rPr>
          <w:rFonts w:ascii="Arial" w:eastAsia="Arial,Calibri" w:hAnsi="Arial" w:cs="Arial"/>
          <w:lang w:eastAsia="en-US"/>
        </w:rPr>
        <w:t>lude</w:t>
      </w:r>
      <w:r w:rsidR="00A91A60">
        <w:rPr>
          <w:rFonts w:ascii="Arial" w:eastAsia="Arial,Calibri" w:hAnsi="Arial" w:cs="Arial"/>
          <w:lang w:eastAsia="en-US"/>
        </w:rPr>
        <w:t xml:space="preserve"> the consultation on the New Homes Bonus, measures to boost affordable housing, the announcement that Pay to Stay is to become voluntary, the creation of a National Productivity Investment Fund, clarity on how a proportion of the £700m additional funding for flood defences would be spent, </w:t>
      </w:r>
      <w:r w:rsidR="007F190B">
        <w:rPr>
          <w:rFonts w:ascii="Arial" w:eastAsia="Arial,Calibri" w:hAnsi="Arial" w:cs="Arial"/>
          <w:lang w:eastAsia="en-US"/>
        </w:rPr>
        <w:t xml:space="preserve">and awarding an additional £1.8 billion to Local Enterprise Partnerships. </w:t>
      </w:r>
    </w:p>
    <w:p w14:paraId="38B03F0A" w14:textId="77777777" w:rsidR="007F190B" w:rsidRDefault="007F190B" w:rsidP="007F190B">
      <w:pPr>
        <w:contextualSpacing/>
        <w:rPr>
          <w:rFonts w:ascii="Arial" w:eastAsia="Arial,Calibri" w:hAnsi="Arial" w:cs="Arial"/>
          <w:lang w:eastAsia="en-US"/>
        </w:rPr>
      </w:pPr>
    </w:p>
    <w:p w14:paraId="31252E81" w14:textId="77777777" w:rsidR="007F190B" w:rsidRDefault="007F190B" w:rsidP="007F190B">
      <w:pPr>
        <w:contextualSpacing/>
        <w:rPr>
          <w:rFonts w:ascii="Arial" w:eastAsia="Arial,Calibri" w:hAnsi="Arial" w:cs="Arial"/>
          <w:b/>
          <w:lang w:eastAsia="en-US"/>
        </w:rPr>
      </w:pPr>
      <w:r>
        <w:rPr>
          <w:rFonts w:ascii="Arial" w:eastAsia="Arial,Calibri" w:hAnsi="Arial" w:cs="Arial"/>
          <w:b/>
          <w:lang w:eastAsia="en-US"/>
        </w:rPr>
        <w:t>Provisional Local Government Finance Settlement 2017/18</w:t>
      </w:r>
    </w:p>
    <w:p w14:paraId="7A75CB73" w14:textId="77777777" w:rsidR="007F190B" w:rsidRDefault="007F190B" w:rsidP="007F190B">
      <w:pPr>
        <w:contextualSpacing/>
        <w:rPr>
          <w:rFonts w:ascii="Arial" w:eastAsia="Arial,Calibri" w:hAnsi="Arial" w:cs="Arial"/>
          <w:lang w:eastAsia="en-US"/>
        </w:rPr>
      </w:pPr>
    </w:p>
    <w:p w14:paraId="13943B36" w14:textId="39D83023" w:rsidR="007F190B" w:rsidRPr="007F190B" w:rsidRDefault="007F190B" w:rsidP="007F190B">
      <w:pPr>
        <w:numPr>
          <w:ilvl w:val="0"/>
          <w:numId w:val="17"/>
        </w:numPr>
        <w:contextualSpacing/>
        <w:rPr>
          <w:rFonts w:ascii="Arial" w:eastAsia="Arial,Calibri" w:hAnsi="Arial" w:cs="Arial"/>
          <w:lang w:eastAsia="en-US"/>
        </w:rPr>
      </w:pPr>
      <w:r>
        <w:rPr>
          <w:rFonts w:ascii="Arial" w:eastAsia="Arial,Calibri" w:hAnsi="Arial" w:cs="Arial"/>
          <w:lang w:eastAsia="en-US"/>
        </w:rPr>
        <w:t>On Thursday 15</w:t>
      </w:r>
      <w:r w:rsidRPr="007F190B">
        <w:rPr>
          <w:rFonts w:ascii="Arial" w:eastAsia="Arial,Calibri" w:hAnsi="Arial" w:cs="Arial"/>
          <w:vertAlign w:val="superscript"/>
          <w:lang w:eastAsia="en-US"/>
        </w:rPr>
        <w:t>th</w:t>
      </w:r>
      <w:r>
        <w:rPr>
          <w:rFonts w:ascii="Arial" w:eastAsia="Arial,Calibri" w:hAnsi="Arial" w:cs="Arial"/>
          <w:lang w:eastAsia="en-US"/>
        </w:rPr>
        <w:t xml:space="preserve"> December 2016 the Government announced the provisional local government finance settlement for 2017/18. The final 2017/18 settlement will be laid before the House of Commons for its approval in February 2017. The key messages for the board include the lack of new money in the settlement, the </w:t>
      </w:r>
      <w:r w:rsidR="00CE465B">
        <w:rPr>
          <w:rFonts w:ascii="Arial" w:eastAsia="Arial,Calibri" w:hAnsi="Arial" w:cs="Arial"/>
          <w:lang w:eastAsia="en-US"/>
        </w:rPr>
        <w:t xml:space="preserve">changes to the social care precept and the reallocation of savings from the reform of the New Homes Bonus to social care. </w:t>
      </w:r>
      <w:r w:rsidR="00BD464D">
        <w:rPr>
          <w:rFonts w:ascii="Arial" w:eastAsia="Arial,Calibri" w:hAnsi="Arial" w:cs="Arial"/>
          <w:lang w:eastAsia="en-US"/>
        </w:rPr>
        <w:t>The LGA’s on the day briefing</w:t>
      </w:r>
      <w:r w:rsidR="00CE465B">
        <w:rPr>
          <w:rFonts w:ascii="Arial" w:eastAsia="Arial,Calibri" w:hAnsi="Arial" w:cs="Arial"/>
          <w:lang w:eastAsia="en-US"/>
        </w:rPr>
        <w:t xml:space="preserve"> can be found </w:t>
      </w:r>
      <w:hyperlink r:id="rId16" w:history="1">
        <w:r w:rsidR="00CE465B" w:rsidRPr="00CE465B">
          <w:rPr>
            <w:rStyle w:val="Hyperlink"/>
            <w:rFonts w:ascii="Arial" w:eastAsia="Arial,Calibri" w:hAnsi="Arial" w:cs="Arial"/>
            <w:lang w:eastAsia="en-US"/>
          </w:rPr>
          <w:t>here</w:t>
        </w:r>
      </w:hyperlink>
      <w:r w:rsidR="00CE465B">
        <w:rPr>
          <w:rFonts w:ascii="Arial" w:eastAsia="Arial,Calibri" w:hAnsi="Arial" w:cs="Arial"/>
          <w:lang w:eastAsia="en-US"/>
        </w:rPr>
        <w:t xml:space="preserve">. </w:t>
      </w:r>
    </w:p>
    <w:p w14:paraId="7D2ED353" w14:textId="77777777" w:rsidR="00E90050" w:rsidRPr="00E90050" w:rsidRDefault="00E90050" w:rsidP="007F190B">
      <w:pPr>
        <w:contextualSpacing/>
        <w:rPr>
          <w:rFonts w:ascii="Arial" w:eastAsia="Arial,Calibri" w:hAnsi="Arial" w:cs="Arial"/>
          <w:b/>
          <w:lang w:eastAsia="en-US"/>
        </w:rPr>
      </w:pPr>
    </w:p>
    <w:p w14:paraId="599F36A5" w14:textId="77777777" w:rsidR="00F04267" w:rsidRDefault="00F04267" w:rsidP="00F04267">
      <w:pPr>
        <w:rPr>
          <w:rFonts w:ascii="Arial" w:hAnsi="Arial" w:cs="Arial"/>
          <w:b/>
          <w:bCs/>
        </w:rPr>
      </w:pPr>
      <w:r>
        <w:rPr>
          <w:rFonts w:ascii="Arial" w:hAnsi="Arial" w:cs="Arial"/>
          <w:b/>
          <w:bCs/>
        </w:rPr>
        <w:t>New Homes Bonus</w:t>
      </w:r>
    </w:p>
    <w:p w14:paraId="4C003BF8" w14:textId="77777777" w:rsidR="00F04267" w:rsidRDefault="00F04267" w:rsidP="00F04267">
      <w:pPr>
        <w:rPr>
          <w:rFonts w:ascii="Arial" w:hAnsi="Arial" w:cs="Arial"/>
        </w:rPr>
      </w:pPr>
    </w:p>
    <w:p w14:paraId="400985BD" w14:textId="3A533E51" w:rsidR="00F04267" w:rsidRDefault="00F04267" w:rsidP="00F04267">
      <w:pPr>
        <w:pStyle w:val="ListParagraph"/>
        <w:numPr>
          <w:ilvl w:val="0"/>
          <w:numId w:val="17"/>
        </w:numPr>
        <w:rPr>
          <w:rFonts w:ascii="Arial" w:hAnsi="Arial" w:cs="Arial"/>
        </w:rPr>
      </w:pPr>
      <w:r>
        <w:rPr>
          <w:rFonts w:ascii="Arial" w:hAnsi="Arial" w:cs="Arial"/>
        </w:rPr>
        <w:t>As mentioned above, t</w:t>
      </w:r>
      <w:r w:rsidRPr="00F04267">
        <w:rPr>
          <w:rFonts w:ascii="Arial" w:hAnsi="Arial" w:cs="Arial"/>
        </w:rPr>
        <w:t>he Local Government Settlement announced the reduction in the New Hom</w:t>
      </w:r>
      <w:r>
        <w:rPr>
          <w:rFonts w:ascii="Arial" w:hAnsi="Arial" w:cs="Arial"/>
        </w:rPr>
        <w:t>es Bonus (NHB) of £241 million.</w:t>
      </w:r>
      <w:r w:rsidRPr="00F04267">
        <w:rPr>
          <w:rFonts w:ascii="Arial" w:hAnsi="Arial" w:cs="Arial"/>
        </w:rPr>
        <w:t> Local authorities will need to achieve growth of greater than 0.4 per cent before they receive any NHB funding. This is higher than the threshold consulted upon this year and the Government may change this threshold in future years if there is a significant increase in housing growth. The LGA on the day briefing said:</w:t>
      </w:r>
    </w:p>
    <w:p w14:paraId="485C8C09" w14:textId="77777777" w:rsidR="00F04267" w:rsidRDefault="00F04267" w:rsidP="00F04267">
      <w:pPr>
        <w:pStyle w:val="ListParagraph"/>
        <w:ind w:left="360"/>
        <w:rPr>
          <w:rFonts w:ascii="Arial" w:hAnsi="Arial" w:cs="Arial"/>
        </w:rPr>
      </w:pPr>
    </w:p>
    <w:p w14:paraId="21751016" w14:textId="77777777" w:rsidR="00F04267" w:rsidRDefault="00F04267" w:rsidP="00F04267">
      <w:pPr>
        <w:pStyle w:val="ListParagraph"/>
        <w:numPr>
          <w:ilvl w:val="1"/>
          <w:numId w:val="17"/>
        </w:numPr>
        <w:ind w:left="993" w:hanging="633"/>
        <w:rPr>
          <w:rFonts w:ascii="Arial" w:hAnsi="Arial" w:cs="Arial"/>
        </w:rPr>
      </w:pPr>
      <w:r w:rsidRPr="00F04267">
        <w:rPr>
          <w:rFonts w:ascii="Arial" w:hAnsi="Arial" w:cs="Arial"/>
        </w:rPr>
        <w:t>The NHB makes up a considerable part of funding for some authorities particularly shire district authorities. The reduction is intended to deliver savings to fund increases to the Improved Better Care Fund. However, for many authorities this leads to a net reduction in resources not helped by the fact the changes have been announced so close to the start of the 2017/18 financial year.</w:t>
      </w:r>
    </w:p>
    <w:p w14:paraId="22F6D52A" w14:textId="77777777" w:rsidR="00F04267" w:rsidRDefault="00F04267" w:rsidP="00F04267">
      <w:pPr>
        <w:pStyle w:val="ListParagraph"/>
        <w:ind w:left="993" w:hanging="633"/>
        <w:rPr>
          <w:rFonts w:ascii="Arial" w:hAnsi="Arial" w:cs="Arial"/>
        </w:rPr>
      </w:pPr>
    </w:p>
    <w:p w14:paraId="725C766F" w14:textId="77777777" w:rsidR="00F04267" w:rsidRPr="00F04267" w:rsidRDefault="00F04267" w:rsidP="00F04267">
      <w:pPr>
        <w:pStyle w:val="ListParagraph"/>
        <w:numPr>
          <w:ilvl w:val="1"/>
          <w:numId w:val="17"/>
        </w:numPr>
        <w:ind w:left="993" w:hanging="633"/>
        <w:rPr>
          <w:rFonts w:ascii="Arial" w:hAnsi="Arial" w:cs="Arial"/>
        </w:rPr>
      </w:pPr>
      <w:r w:rsidRPr="00F04267">
        <w:rPr>
          <w:rFonts w:ascii="Arial" w:hAnsi="Arial" w:cs="Arial"/>
        </w:rPr>
        <w:t>The introduction of a baseline could remove any incentive to grow in relatively low growth areas and penalises areas with limited opportunity to grow.</w:t>
      </w:r>
    </w:p>
    <w:p w14:paraId="498F9379" w14:textId="77777777" w:rsidR="00E90050" w:rsidRDefault="00E90050" w:rsidP="007F190B">
      <w:pPr>
        <w:contextualSpacing/>
        <w:rPr>
          <w:rFonts w:ascii="Arial" w:eastAsia="Arial,Calibri" w:hAnsi="Arial" w:cs="Arial"/>
          <w:b/>
          <w:lang w:eastAsia="en-US"/>
        </w:rPr>
      </w:pPr>
    </w:p>
    <w:p w14:paraId="0E3F51D4" w14:textId="54BB929A" w:rsidR="00CE465B" w:rsidRDefault="00CE465B" w:rsidP="007F190B">
      <w:pPr>
        <w:contextualSpacing/>
        <w:rPr>
          <w:rFonts w:ascii="Arial" w:eastAsia="Arial,Calibri" w:hAnsi="Arial" w:cs="Arial"/>
          <w:b/>
          <w:lang w:eastAsia="en-US"/>
        </w:rPr>
      </w:pPr>
      <w:r>
        <w:rPr>
          <w:rFonts w:ascii="Arial" w:eastAsia="Arial,Calibri" w:hAnsi="Arial" w:cs="Arial"/>
          <w:b/>
          <w:lang w:eastAsia="en-US"/>
        </w:rPr>
        <w:t xml:space="preserve">Publication of the LGA Housing Commission </w:t>
      </w:r>
    </w:p>
    <w:p w14:paraId="1F6C6F0D" w14:textId="77777777" w:rsidR="00CE465B" w:rsidRDefault="00CE465B" w:rsidP="007F190B">
      <w:pPr>
        <w:contextualSpacing/>
        <w:rPr>
          <w:rFonts w:ascii="Arial" w:eastAsia="Arial,Calibri" w:hAnsi="Arial" w:cs="Arial"/>
          <w:b/>
          <w:lang w:eastAsia="en-US"/>
        </w:rPr>
      </w:pPr>
    </w:p>
    <w:p w14:paraId="2882C38D" w14:textId="501F311E" w:rsidR="00CE465B" w:rsidRPr="00CE465B" w:rsidRDefault="00CE465B" w:rsidP="00CE465B">
      <w:pPr>
        <w:pStyle w:val="ListParagraph"/>
        <w:numPr>
          <w:ilvl w:val="0"/>
          <w:numId w:val="17"/>
        </w:numPr>
        <w:rPr>
          <w:rFonts w:ascii="Arial" w:hAnsi="Arial" w:cs="Arial"/>
        </w:rPr>
      </w:pPr>
      <w:r w:rsidRPr="00F04267">
        <w:rPr>
          <w:rFonts w:ascii="Arial" w:hAnsi="Arial" w:cs="Arial"/>
        </w:rPr>
        <w:t xml:space="preserve">The Board launched the final </w:t>
      </w:r>
      <w:r w:rsidR="00BD464D">
        <w:rPr>
          <w:rFonts w:ascii="Arial" w:hAnsi="Arial" w:cs="Arial"/>
        </w:rPr>
        <w:t>report</w:t>
      </w:r>
      <w:r w:rsidR="00F04267" w:rsidRPr="00F04267">
        <w:rPr>
          <w:rFonts w:ascii="Arial" w:hAnsi="Arial" w:cs="Arial"/>
        </w:rPr>
        <w:t xml:space="preserve"> of the </w:t>
      </w:r>
      <w:hyperlink r:id="rId17" w:history="1">
        <w:r w:rsidR="00F04267" w:rsidRPr="00F04267">
          <w:rPr>
            <w:rStyle w:val="Hyperlink"/>
            <w:rFonts w:ascii="Arial" w:hAnsi="Arial" w:cs="Arial"/>
          </w:rPr>
          <w:t>LGA Housing Commission</w:t>
        </w:r>
      </w:hyperlink>
      <w:r w:rsidR="00F04267" w:rsidRPr="00F04267">
        <w:rPr>
          <w:rFonts w:ascii="Arial" w:hAnsi="Arial" w:cs="Arial"/>
        </w:rPr>
        <w:t xml:space="preserve"> on Thursday 22 December</w:t>
      </w:r>
      <w:r w:rsidRPr="00F04267">
        <w:rPr>
          <w:rFonts w:ascii="Arial" w:hAnsi="Arial" w:cs="Arial"/>
        </w:rPr>
        <w:t xml:space="preserve"> in</w:t>
      </w:r>
      <w:r w:rsidRPr="00CE465B">
        <w:rPr>
          <w:rFonts w:ascii="Arial" w:hAnsi="Arial" w:cs="Arial"/>
        </w:rPr>
        <w:t xml:space="preserve"> advance of the Housing White Paper</w:t>
      </w:r>
      <w:r w:rsidR="00BD464D">
        <w:rPr>
          <w:rFonts w:ascii="Arial" w:hAnsi="Arial" w:cs="Arial"/>
        </w:rPr>
        <w:t xml:space="preserve"> that is</w:t>
      </w:r>
      <w:r w:rsidRPr="00CE465B">
        <w:rPr>
          <w:rFonts w:ascii="Arial" w:hAnsi="Arial" w:cs="Arial"/>
        </w:rPr>
        <w:t xml:space="preserve"> likely to published by Government in January 2017. Following extensive engagement with over 100 partners the final report makes 37 recommendations for how local and national government can work together to: build more of the right homes in the right places; to create prosperous and well-functioning economies; to help more people into work and to increase their earnings, and; to better meet the housing needs of our ageing population. </w:t>
      </w:r>
    </w:p>
    <w:p w14:paraId="2D566DA1" w14:textId="417F33C6" w:rsidR="00E90050" w:rsidRDefault="00E90050" w:rsidP="00CE465B">
      <w:pPr>
        <w:pStyle w:val="ListParagraph"/>
        <w:ind w:left="360"/>
        <w:contextualSpacing/>
        <w:rPr>
          <w:rFonts w:ascii="Arial" w:eastAsia="Arial,Calibri" w:hAnsi="Arial" w:cs="Arial"/>
          <w:lang w:eastAsia="en-US"/>
        </w:rPr>
      </w:pPr>
    </w:p>
    <w:p w14:paraId="4E4FE6C3" w14:textId="77777777" w:rsidR="00BD464D" w:rsidRDefault="00BD464D" w:rsidP="00CE465B">
      <w:pPr>
        <w:pStyle w:val="ListParagraph"/>
        <w:ind w:left="360"/>
        <w:contextualSpacing/>
        <w:rPr>
          <w:rFonts w:ascii="Arial" w:eastAsia="Arial,Calibri" w:hAnsi="Arial" w:cs="Arial"/>
          <w:lang w:eastAsia="en-US"/>
        </w:rPr>
      </w:pPr>
    </w:p>
    <w:p w14:paraId="6A549D88" w14:textId="77777777" w:rsidR="00BD464D" w:rsidRDefault="00BD464D" w:rsidP="00CE465B">
      <w:pPr>
        <w:pStyle w:val="ListParagraph"/>
        <w:ind w:left="360"/>
        <w:contextualSpacing/>
        <w:rPr>
          <w:rFonts w:ascii="Arial" w:eastAsia="Arial,Calibri" w:hAnsi="Arial" w:cs="Arial"/>
          <w:lang w:eastAsia="en-US"/>
        </w:rPr>
      </w:pPr>
    </w:p>
    <w:p w14:paraId="4B2C4A50" w14:textId="77777777" w:rsidR="00BD464D" w:rsidRDefault="00BD464D" w:rsidP="00CE465B">
      <w:pPr>
        <w:pStyle w:val="ListParagraph"/>
        <w:ind w:left="360"/>
        <w:contextualSpacing/>
        <w:rPr>
          <w:rFonts w:ascii="Arial" w:eastAsia="Arial,Calibri" w:hAnsi="Arial" w:cs="Arial"/>
          <w:lang w:eastAsia="en-US"/>
        </w:rPr>
      </w:pPr>
    </w:p>
    <w:p w14:paraId="7D2BCC14" w14:textId="77777777" w:rsidR="00BD464D" w:rsidRDefault="00BD464D" w:rsidP="00CE465B">
      <w:pPr>
        <w:pStyle w:val="ListParagraph"/>
        <w:ind w:left="360"/>
        <w:contextualSpacing/>
        <w:rPr>
          <w:rFonts w:ascii="Arial" w:eastAsia="Arial,Calibri" w:hAnsi="Arial" w:cs="Arial"/>
          <w:lang w:eastAsia="en-US"/>
        </w:rPr>
      </w:pPr>
      <w:bookmarkStart w:id="3" w:name="_GoBack"/>
      <w:bookmarkEnd w:id="3"/>
    </w:p>
    <w:p w14:paraId="6C4F83C6" w14:textId="22929171" w:rsidR="00E90050" w:rsidRDefault="00E90050" w:rsidP="00E90050">
      <w:pPr>
        <w:pStyle w:val="ListParagraph"/>
        <w:ind w:left="0"/>
        <w:contextualSpacing/>
        <w:rPr>
          <w:rFonts w:ascii="Arial" w:eastAsia="Arial,Calibri" w:hAnsi="Arial" w:cs="Arial"/>
          <w:b/>
          <w:lang w:eastAsia="en-US"/>
        </w:rPr>
      </w:pPr>
      <w:r>
        <w:rPr>
          <w:rFonts w:ascii="Arial" w:eastAsia="Arial,Calibri" w:hAnsi="Arial" w:cs="Arial"/>
          <w:b/>
          <w:lang w:eastAsia="en-US"/>
        </w:rPr>
        <w:lastRenderedPageBreak/>
        <w:t>Homelessness Reduction Bill</w:t>
      </w:r>
    </w:p>
    <w:p w14:paraId="029ED65E" w14:textId="77777777" w:rsidR="00E90050" w:rsidRDefault="00E90050" w:rsidP="00E90050">
      <w:pPr>
        <w:pStyle w:val="ListParagraph"/>
        <w:ind w:left="0"/>
        <w:contextualSpacing/>
        <w:rPr>
          <w:rFonts w:ascii="Arial" w:eastAsia="Arial,Calibri" w:hAnsi="Arial" w:cs="Arial"/>
          <w:b/>
          <w:lang w:eastAsia="en-US"/>
        </w:rPr>
      </w:pPr>
    </w:p>
    <w:p w14:paraId="005FCDB0" w14:textId="04B92869" w:rsidR="00E90050" w:rsidRPr="00E90050" w:rsidRDefault="00E90050" w:rsidP="00E90050">
      <w:pPr>
        <w:pStyle w:val="ListParagraph"/>
        <w:numPr>
          <w:ilvl w:val="0"/>
          <w:numId w:val="17"/>
        </w:numPr>
        <w:rPr>
          <w:rFonts w:ascii="Arial" w:hAnsi="Arial" w:cs="Arial"/>
        </w:rPr>
      </w:pPr>
      <w:r w:rsidRPr="00E90050">
        <w:rPr>
          <w:rFonts w:ascii="Arial" w:hAnsi="Arial" w:cs="Arial"/>
        </w:rPr>
        <w:t>The Homelessness Reduction Bill will likely gain Royal Assent</w:t>
      </w:r>
      <w:r w:rsidR="00BD464D">
        <w:rPr>
          <w:rFonts w:ascii="Arial" w:hAnsi="Arial" w:cs="Arial"/>
        </w:rPr>
        <w:t xml:space="preserve"> in the new year</w:t>
      </w:r>
      <w:r>
        <w:rPr>
          <w:rFonts w:ascii="Arial" w:hAnsi="Arial" w:cs="Arial"/>
        </w:rPr>
        <w:t>,</w:t>
      </w:r>
      <w:r w:rsidRPr="00E90050">
        <w:rPr>
          <w:rFonts w:ascii="Arial" w:hAnsi="Arial" w:cs="Arial"/>
        </w:rPr>
        <w:t xml:space="preserve"> placing furt</w:t>
      </w:r>
      <w:r>
        <w:rPr>
          <w:rFonts w:ascii="Arial" w:hAnsi="Arial" w:cs="Arial"/>
        </w:rPr>
        <w:t>her duties on local government. W</w:t>
      </w:r>
      <w:r w:rsidRPr="00E90050">
        <w:rPr>
          <w:rFonts w:ascii="Arial" w:hAnsi="Arial" w:cs="Arial"/>
        </w:rPr>
        <w:t>e have worked hard to remove some elements of the original Bill that would have been unworkable for many councils to deliver. It is in a better shape now, but we will continue to push for adequate resources to deliver new duties, and for wider housing and welfare reforms that will be crucial to delivering ambitions to reduce homelessness.</w:t>
      </w:r>
    </w:p>
    <w:p w14:paraId="205E0DB1" w14:textId="77777777" w:rsidR="00E76D37" w:rsidRPr="00F04267" w:rsidRDefault="00E76D37" w:rsidP="00F04267">
      <w:pPr>
        <w:contextualSpacing/>
        <w:rPr>
          <w:rFonts w:ascii="Arial" w:eastAsia="Arial,Calibri" w:hAnsi="Arial" w:cs="Arial"/>
          <w:lang w:eastAsia="en-US"/>
        </w:rPr>
      </w:pPr>
    </w:p>
    <w:p w14:paraId="7A7DB7D8" w14:textId="77777777" w:rsidR="00E76D37" w:rsidRPr="00E76D37" w:rsidRDefault="00E76D37" w:rsidP="00E76D37">
      <w:pPr>
        <w:rPr>
          <w:rFonts w:ascii="Arial" w:hAnsi="Arial" w:cs="Arial"/>
          <w:b/>
        </w:rPr>
      </w:pPr>
      <w:r w:rsidRPr="00E76D37">
        <w:rPr>
          <w:rFonts w:ascii="Arial" w:hAnsi="Arial" w:cs="Arial"/>
          <w:b/>
        </w:rPr>
        <w:t>Neighbourhood planning bill</w:t>
      </w:r>
    </w:p>
    <w:p w14:paraId="4402DCBE" w14:textId="77777777" w:rsidR="00E76D37" w:rsidRDefault="00E76D37" w:rsidP="00E76D37">
      <w:pPr>
        <w:rPr>
          <w:rFonts w:ascii="Arial" w:hAnsi="Arial" w:cs="Arial"/>
        </w:rPr>
      </w:pPr>
    </w:p>
    <w:p w14:paraId="3CDB47DB" w14:textId="46D1C4EB" w:rsidR="00E76D37" w:rsidRPr="00F04267" w:rsidRDefault="00E76D37" w:rsidP="00E76D37">
      <w:pPr>
        <w:pStyle w:val="ListParagraph"/>
        <w:numPr>
          <w:ilvl w:val="0"/>
          <w:numId w:val="17"/>
        </w:numPr>
        <w:rPr>
          <w:rFonts w:ascii="Arial" w:hAnsi="Arial" w:cs="Arial"/>
        </w:rPr>
      </w:pPr>
      <w:r w:rsidRPr="00F04267">
        <w:rPr>
          <w:rFonts w:ascii="Arial" w:hAnsi="Arial" w:cs="Arial"/>
        </w:rPr>
        <w:t xml:space="preserve">We have briefed MPs in advance of debates on the Neighbourhood Planning Bill as it has worked its way through the House of Commons. In particular, stressing that the Bill could do more to help the Government achieve its ambitions on speeding up the delivery of new homes and to enable local authorities to deliver responsive planning services through adequate resourcing. The LGA has been quoted widely by MPs in their discussions including our concerns about the proposed reforms to the use of planning conditions, local development plans and our research on office to residential permitted development rights. Cllr Tony Newman gave evidence at the Public Bill Committee which focused on the provisions of the Bill which restrict the use of pre-commencement planning conditions. He highlighted the LGA’s view that the reforms are unnecessary and as well as raising the LGA’s call for locally set planning fees. We will continue to work with Parliamentarians to shape the Bill as it works its way through the House of Lords early in 2017. LGA briefings on the bill can be found </w:t>
      </w:r>
      <w:hyperlink r:id="rId18" w:history="1">
        <w:r w:rsidRPr="00F04267">
          <w:rPr>
            <w:rStyle w:val="Hyperlink"/>
            <w:rFonts w:ascii="Arial" w:hAnsi="Arial" w:cs="Arial"/>
            <w:color w:val="auto"/>
          </w:rPr>
          <w:t>here</w:t>
        </w:r>
      </w:hyperlink>
      <w:r w:rsidRPr="00F04267">
        <w:rPr>
          <w:rFonts w:ascii="Arial" w:hAnsi="Arial" w:cs="Arial"/>
        </w:rPr>
        <w:t>.</w:t>
      </w:r>
      <w:r w:rsidRPr="00F04267">
        <w:t xml:space="preserve"> </w:t>
      </w:r>
    </w:p>
    <w:p w14:paraId="4C7208D5" w14:textId="5CE8C2E4" w:rsidR="00F04267" w:rsidRPr="00F04267" w:rsidRDefault="00F04267" w:rsidP="00F04267">
      <w:pPr>
        <w:rPr>
          <w:rFonts w:ascii="Arial" w:hAnsi="Arial" w:cs="Arial"/>
        </w:rPr>
      </w:pPr>
    </w:p>
    <w:p w14:paraId="4DC9BBC1" w14:textId="77777777" w:rsidR="00F04267" w:rsidRDefault="00F04267" w:rsidP="00F04267">
      <w:pPr>
        <w:rPr>
          <w:rFonts w:ascii="Arial" w:hAnsi="Arial" w:cs="Arial"/>
          <w:b/>
          <w:bCs/>
        </w:rPr>
      </w:pPr>
      <w:r>
        <w:rPr>
          <w:rFonts w:ascii="Arial" w:hAnsi="Arial" w:cs="Arial"/>
          <w:b/>
          <w:bCs/>
        </w:rPr>
        <w:t>European Capital of Culture</w:t>
      </w:r>
    </w:p>
    <w:p w14:paraId="4F34B5ED" w14:textId="77777777" w:rsidR="00F04267" w:rsidRDefault="00F04267" w:rsidP="00F04267">
      <w:pPr>
        <w:rPr>
          <w:rFonts w:ascii="Arial" w:hAnsi="Arial" w:cs="Arial"/>
        </w:rPr>
      </w:pPr>
    </w:p>
    <w:p w14:paraId="343424A2" w14:textId="34A8EF62" w:rsidR="00F04267" w:rsidRPr="00F04267" w:rsidRDefault="00F04267" w:rsidP="00F04267">
      <w:pPr>
        <w:pStyle w:val="ListParagraph"/>
        <w:numPr>
          <w:ilvl w:val="0"/>
          <w:numId w:val="17"/>
        </w:numPr>
        <w:rPr>
          <w:rFonts w:ascii="Arial" w:hAnsi="Arial" w:cs="Arial"/>
        </w:rPr>
      </w:pPr>
      <w:r w:rsidRPr="00F04267">
        <w:rPr>
          <w:rFonts w:ascii="Arial" w:hAnsi="Arial" w:cs="Arial"/>
        </w:rPr>
        <w:t>On 16 December the Secretary of State for Culture Media and Sport announced that a nationwide competition to find the 2023 European Capital of Culture has been launched. The competition process has two selection phases and lasts two years. The winning UK city will be announced by the end of 2018.  Following the Board’s last meeting a joint letter from the EEHT and Culture and Tourism Board was sent to the secretary of state seeking clarity on the continuing eligibility of UK cities to European Capital of Culture funding. Information on th</w:t>
      </w:r>
      <w:r>
        <w:rPr>
          <w:rFonts w:ascii="Arial" w:hAnsi="Arial" w:cs="Arial"/>
        </w:rPr>
        <w:t xml:space="preserve">e competition can be found </w:t>
      </w:r>
      <w:hyperlink r:id="rId19" w:history="1">
        <w:r w:rsidRPr="00F04267">
          <w:rPr>
            <w:rStyle w:val="Hyperlink"/>
            <w:rFonts w:ascii="Arial" w:hAnsi="Arial" w:cs="Arial"/>
          </w:rPr>
          <w:t>here</w:t>
        </w:r>
      </w:hyperlink>
      <w:r w:rsidRPr="00F04267">
        <w:rPr>
          <w:rFonts w:ascii="Arial" w:hAnsi="Arial" w:cs="Arial"/>
        </w:rPr>
        <w:t xml:space="preserve">. The Boards’ letter to the Secretary of State can be found </w:t>
      </w:r>
      <w:r w:rsidR="00446226">
        <w:rPr>
          <w:rFonts w:ascii="Arial" w:hAnsi="Arial" w:cs="Arial"/>
        </w:rPr>
        <w:t xml:space="preserve">attached as </w:t>
      </w:r>
      <w:r w:rsidR="00446226">
        <w:rPr>
          <w:rFonts w:ascii="Arial" w:hAnsi="Arial" w:cs="Arial"/>
          <w:b/>
          <w:u w:val="single"/>
        </w:rPr>
        <w:t>Appendix A</w:t>
      </w:r>
      <w:r w:rsidRPr="00F04267">
        <w:rPr>
          <w:rFonts w:ascii="Arial" w:hAnsi="Arial" w:cs="Arial"/>
        </w:rPr>
        <w:t xml:space="preserve">. </w:t>
      </w:r>
    </w:p>
    <w:p w14:paraId="7B385806" w14:textId="77777777" w:rsidR="00F04267" w:rsidRPr="00E76D37" w:rsidRDefault="00F04267" w:rsidP="00E90050">
      <w:pPr>
        <w:pStyle w:val="ListParagraph"/>
        <w:ind w:left="0"/>
        <w:contextualSpacing/>
        <w:rPr>
          <w:rFonts w:ascii="Arial" w:eastAsia="Arial,Calibri" w:hAnsi="Arial" w:cs="Arial"/>
          <w:b/>
          <w:lang w:eastAsia="en-US"/>
        </w:rPr>
      </w:pPr>
    </w:p>
    <w:sectPr w:rsidR="00F04267" w:rsidRPr="00E76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7F190B" w:rsidRDefault="007F190B">
      <w:r>
        <w:separator/>
      </w:r>
    </w:p>
  </w:endnote>
  <w:endnote w:type="continuationSeparator" w:id="0">
    <w:p w14:paraId="3E8322B5" w14:textId="77777777" w:rsidR="007F190B" w:rsidRDefault="007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7F190B" w:rsidRDefault="007F190B">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7F190B" w:rsidRDefault="007F190B">
      <w:r>
        <w:separator/>
      </w:r>
    </w:p>
  </w:footnote>
  <w:footnote w:type="continuationSeparator" w:id="0">
    <w:p w14:paraId="3E8322B3" w14:textId="77777777" w:rsidR="007F190B" w:rsidRDefault="007F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7F190B" w:rsidRPr="00682600" w14:paraId="3636A597" w14:textId="77777777" w:rsidTr="005D493C">
      <w:trPr>
        <w:trHeight w:val="279"/>
      </w:trPr>
      <w:tc>
        <w:tcPr>
          <w:tcW w:w="5665" w:type="dxa"/>
          <w:vMerge w:val="restart"/>
          <w:shd w:val="clear" w:color="auto" w:fill="auto"/>
        </w:tcPr>
        <w:p w14:paraId="218CED4B" w14:textId="77777777" w:rsidR="007F190B" w:rsidRPr="00682600" w:rsidRDefault="007F190B" w:rsidP="00682600">
          <w:pPr>
            <w:tabs>
              <w:tab w:val="center" w:pos="2923"/>
              <w:tab w:val="center" w:pos="4153"/>
              <w:tab w:val="right" w:pos="8306"/>
            </w:tabs>
            <w:rPr>
              <w:rFonts w:ascii="Arial" w:hAnsi="Arial" w:cs="Arial"/>
              <w:noProof/>
              <w:sz w:val="44"/>
              <w:szCs w:val="44"/>
            </w:rPr>
          </w:pPr>
          <w:r w:rsidRPr="00682600">
            <w:rPr>
              <w:rFonts w:ascii="Arial" w:hAnsi="Arial" w:cs="Arial"/>
              <w:noProof/>
              <w:sz w:val="44"/>
              <w:szCs w:val="44"/>
            </w:rPr>
            <w:drawing>
              <wp:inline distT="0" distB="0" distL="0" distR="0" wp14:anchorId="377B5325" wp14:editId="11317CB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36780A79" w14:textId="77777777" w:rsidR="007F190B" w:rsidRPr="00682600" w:rsidRDefault="007F190B" w:rsidP="00682600">
          <w:pPr>
            <w:tabs>
              <w:tab w:val="center" w:pos="4153"/>
              <w:tab w:val="right" w:pos="8306"/>
            </w:tabs>
            <w:rPr>
              <w:rFonts w:ascii="Arial" w:eastAsia="Arial" w:hAnsi="Arial" w:cs="Arial"/>
              <w:b/>
              <w:bCs/>
            </w:rPr>
          </w:pPr>
        </w:p>
      </w:tc>
    </w:tr>
    <w:tr w:rsidR="007F190B" w:rsidRPr="00682600" w14:paraId="06AA45AD" w14:textId="77777777" w:rsidTr="005D493C">
      <w:trPr>
        <w:trHeight w:val="723"/>
      </w:trPr>
      <w:tc>
        <w:tcPr>
          <w:tcW w:w="5665" w:type="dxa"/>
          <w:vMerge/>
          <w:shd w:val="clear" w:color="auto" w:fill="auto"/>
        </w:tcPr>
        <w:p w14:paraId="697B5F54" w14:textId="77777777" w:rsidR="007F190B" w:rsidRPr="00682600" w:rsidRDefault="007F190B" w:rsidP="00682600">
          <w:pPr>
            <w:tabs>
              <w:tab w:val="center" w:pos="2923"/>
            </w:tabs>
          </w:pPr>
        </w:p>
      </w:tc>
      <w:tc>
        <w:tcPr>
          <w:tcW w:w="3396" w:type="dxa"/>
          <w:shd w:val="clear" w:color="auto" w:fill="auto"/>
          <w:vAlign w:val="center"/>
        </w:tcPr>
        <w:p w14:paraId="3D0512AD" w14:textId="77777777" w:rsidR="007F190B" w:rsidRPr="00682600" w:rsidRDefault="007F190B" w:rsidP="00682600">
          <w:pPr>
            <w:tabs>
              <w:tab w:val="center" w:pos="4153"/>
              <w:tab w:val="right" w:pos="8306"/>
            </w:tabs>
            <w:rPr>
              <w:rFonts w:ascii="Arial" w:eastAsia="Arial" w:hAnsi="Arial" w:cs="Arial"/>
              <w:b/>
              <w:bCs/>
              <w:i/>
              <w:iCs/>
            </w:rPr>
          </w:pPr>
          <w:r w:rsidRPr="00682600">
            <w:rPr>
              <w:rFonts w:ascii="Arial" w:eastAsia="Arial" w:hAnsi="Arial" w:cs="Arial"/>
              <w:b/>
              <w:bCs/>
            </w:rPr>
            <w:t>Environment, Economy, Housing and Transport Board</w:t>
          </w:r>
        </w:p>
      </w:tc>
    </w:tr>
    <w:tr w:rsidR="007F190B" w:rsidRPr="00682600" w14:paraId="62C8413B" w14:textId="77777777" w:rsidTr="005D493C">
      <w:trPr>
        <w:trHeight w:val="85"/>
      </w:trPr>
      <w:tc>
        <w:tcPr>
          <w:tcW w:w="5665" w:type="dxa"/>
          <w:vMerge/>
          <w:shd w:val="clear" w:color="auto" w:fill="auto"/>
        </w:tcPr>
        <w:p w14:paraId="4D3FB49F" w14:textId="77777777" w:rsidR="007F190B" w:rsidRPr="00682600" w:rsidRDefault="007F190B" w:rsidP="00682600">
          <w:pPr>
            <w:tabs>
              <w:tab w:val="center" w:pos="4153"/>
              <w:tab w:val="right" w:pos="8306"/>
            </w:tabs>
          </w:pPr>
        </w:p>
      </w:tc>
      <w:tc>
        <w:tcPr>
          <w:tcW w:w="3396" w:type="dxa"/>
          <w:shd w:val="clear" w:color="auto" w:fill="auto"/>
          <w:vAlign w:val="center"/>
        </w:tcPr>
        <w:p w14:paraId="20010923" w14:textId="77777777" w:rsidR="007F190B" w:rsidRPr="00682600" w:rsidRDefault="007F190B" w:rsidP="00682600">
          <w:pPr>
            <w:tabs>
              <w:tab w:val="center" w:pos="4153"/>
              <w:tab w:val="right" w:pos="8306"/>
            </w:tabs>
            <w:spacing w:before="60"/>
            <w:rPr>
              <w:rFonts w:ascii="Arial" w:eastAsia="Arial" w:hAnsi="Arial" w:cs="Arial"/>
            </w:rPr>
          </w:pPr>
          <w:r w:rsidRPr="00682600">
            <w:rPr>
              <w:rFonts w:ascii="Arial" w:eastAsia="Arial" w:hAnsi="Arial" w:cs="Arial"/>
            </w:rPr>
            <w:t>5</w:t>
          </w:r>
          <w:r w:rsidRPr="00682600">
            <w:rPr>
              <w:rFonts w:ascii="Arial" w:eastAsia="Arial" w:hAnsi="Arial" w:cs="Arial"/>
              <w:vertAlign w:val="superscript"/>
            </w:rPr>
            <w:t xml:space="preserve"> </w:t>
          </w:r>
          <w:r w:rsidRPr="00682600">
            <w:rPr>
              <w:rFonts w:ascii="Arial" w:eastAsia="Arial" w:hAnsi="Arial" w:cs="Arial"/>
            </w:rPr>
            <w:t>January 2017</w:t>
          </w:r>
        </w:p>
      </w:tc>
    </w:tr>
  </w:tbl>
  <w:p w14:paraId="3E8322BF" w14:textId="77777777" w:rsidR="007F190B" w:rsidRPr="0021114E" w:rsidRDefault="007F190B">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7F190B" w:rsidRDefault="007F190B" w:rsidP="00DB0489">
    <w:pPr>
      <w:pStyle w:val="Header"/>
      <w:rPr>
        <w:sz w:val="2"/>
      </w:rPr>
    </w:pPr>
  </w:p>
  <w:p w14:paraId="3E8322C2" w14:textId="77777777" w:rsidR="007F190B" w:rsidRDefault="007F190B" w:rsidP="00DB0489">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F190B" w:rsidRPr="001D2C76" w14:paraId="3E8322C5" w14:textId="77777777" w:rsidTr="0234E103">
      <w:tc>
        <w:tcPr>
          <w:tcW w:w="6062" w:type="dxa"/>
          <w:vMerge w:val="restart"/>
        </w:tcPr>
        <w:p w14:paraId="3E8322C3" w14:textId="77777777" w:rsidR="007F190B" w:rsidRDefault="007F190B" w:rsidP="00DB0489">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7F190B" w:rsidRPr="001D2C76" w:rsidRDefault="007F190B" w:rsidP="0234E103">
          <w:pPr>
            <w:pStyle w:val="Header"/>
            <w:rPr>
              <w:b/>
              <w:bCs/>
            </w:rPr>
          </w:pPr>
          <w:r w:rsidRPr="0234E103">
            <w:rPr>
              <w:rFonts w:ascii="Arial" w:eastAsia="Arial" w:hAnsi="Arial" w:cs="Arial"/>
              <w:b/>
              <w:bCs/>
              <w:sz w:val="24"/>
              <w:szCs w:val="24"/>
            </w:rPr>
            <w:t>Meeting title</w:t>
          </w:r>
        </w:p>
      </w:tc>
    </w:tr>
    <w:tr w:rsidR="007F190B" w14:paraId="3E8322C8" w14:textId="77777777" w:rsidTr="0234E103">
      <w:trPr>
        <w:trHeight w:val="450"/>
      </w:trPr>
      <w:tc>
        <w:tcPr>
          <w:tcW w:w="6062" w:type="dxa"/>
          <w:vMerge/>
        </w:tcPr>
        <w:p w14:paraId="3E8322C6" w14:textId="77777777" w:rsidR="007F190B" w:rsidRDefault="007F190B" w:rsidP="00DB0489">
          <w:pPr>
            <w:pStyle w:val="Header"/>
          </w:pPr>
        </w:p>
      </w:tc>
      <w:tc>
        <w:tcPr>
          <w:tcW w:w="3225" w:type="dxa"/>
        </w:tcPr>
        <w:p w14:paraId="3E8322C7" w14:textId="77777777" w:rsidR="007F190B" w:rsidRDefault="007F190B" w:rsidP="00DB0489">
          <w:pPr>
            <w:pStyle w:val="Header"/>
            <w:spacing w:before="60"/>
          </w:pPr>
          <w:r w:rsidRPr="0234E103">
            <w:rPr>
              <w:rFonts w:ascii="Arial" w:eastAsia="Arial" w:hAnsi="Arial" w:cs="Arial"/>
              <w:sz w:val="24"/>
              <w:szCs w:val="24"/>
            </w:rPr>
            <w:t xml:space="preserve">Meeting date </w:t>
          </w:r>
        </w:p>
      </w:tc>
    </w:tr>
    <w:tr w:rsidR="007F190B" w14:paraId="3E8322CC" w14:textId="77777777" w:rsidTr="0234E103">
      <w:trPr>
        <w:trHeight w:val="450"/>
      </w:trPr>
      <w:tc>
        <w:tcPr>
          <w:tcW w:w="6062" w:type="dxa"/>
          <w:vMerge/>
        </w:tcPr>
        <w:p w14:paraId="3E8322C9" w14:textId="77777777" w:rsidR="007F190B" w:rsidRDefault="007F190B" w:rsidP="00DB0489">
          <w:pPr>
            <w:pStyle w:val="Header"/>
          </w:pPr>
        </w:p>
      </w:tc>
      <w:tc>
        <w:tcPr>
          <w:tcW w:w="3225" w:type="dxa"/>
        </w:tcPr>
        <w:p w14:paraId="3E8322CA" w14:textId="77777777" w:rsidR="007F190B" w:rsidRDefault="007F190B" w:rsidP="00DB0489">
          <w:pPr>
            <w:pStyle w:val="Header"/>
            <w:spacing w:before="60"/>
            <w:rPr>
              <w:rFonts w:ascii="Arial" w:hAnsi="Arial" w:cs="Arial"/>
              <w:b/>
              <w:sz w:val="24"/>
              <w:szCs w:val="24"/>
            </w:rPr>
          </w:pPr>
        </w:p>
        <w:p w14:paraId="3E8322CB" w14:textId="77777777" w:rsidR="007F190B" w:rsidRPr="00546D0D" w:rsidRDefault="007F190B" w:rsidP="0234E103">
          <w:pPr>
            <w:pStyle w:val="Header"/>
            <w:spacing w:before="60"/>
            <w:rPr>
              <w:rFonts w:ascii="Arial" w:eastAsia="Arial" w:hAnsi="Arial" w:cs="Arial"/>
              <w:b/>
              <w:bCs/>
              <w:sz w:val="24"/>
              <w:szCs w:val="24"/>
            </w:rPr>
          </w:pPr>
          <w:r w:rsidRPr="0234E103">
            <w:rPr>
              <w:rFonts w:ascii="Arial" w:eastAsia="Arial" w:hAnsi="Arial" w:cs="Arial"/>
              <w:b/>
              <w:bCs/>
              <w:sz w:val="24"/>
              <w:szCs w:val="24"/>
            </w:rPr>
            <w:t>Item X</w:t>
          </w:r>
        </w:p>
      </w:tc>
    </w:tr>
  </w:tbl>
  <w:p w14:paraId="3E8322CD" w14:textId="77777777" w:rsidR="007F190B" w:rsidRDefault="007F190B" w:rsidP="00DB04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51B6E"/>
    <w:multiLevelType w:val="multilevel"/>
    <w:tmpl w:val="1B20F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3D6E"/>
    <w:multiLevelType w:val="hybridMultilevel"/>
    <w:tmpl w:val="E26AA4C0"/>
    <w:lvl w:ilvl="0" w:tplc="21E23BA4">
      <w:start w:val="2"/>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16792"/>
    <w:multiLevelType w:val="multilevel"/>
    <w:tmpl w:val="3E06EC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87563"/>
    <w:multiLevelType w:val="multilevel"/>
    <w:tmpl w:val="3E06EC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E6343"/>
    <w:multiLevelType w:val="hybridMultilevel"/>
    <w:tmpl w:val="C9788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6737D3"/>
    <w:multiLevelType w:val="multilevel"/>
    <w:tmpl w:val="3E06EC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72D63"/>
    <w:multiLevelType w:val="multilevel"/>
    <w:tmpl w:val="CFA68BBE"/>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FF3A10"/>
    <w:multiLevelType w:val="multilevel"/>
    <w:tmpl w:val="3E06EC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214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D1C4F"/>
    <w:multiLevelType w:val="multilevel"/>
    <w:tmpl w:val="3E06EC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130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29576E"/>
    <w:multiLevelType w:val="hybridMultilevel"/>
    <w:tmpl w:val="B08212DA"/>
    <w:lvl w:ilvl="0" w:tplc="21E23BA4">
      <w:start w:val="2"/>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752D5F"/>
    <w:multiLevelType w:val="multilevel"/>
    <w:tmpl w:val="429E1DF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E27C01"/>
    <w:multiLevelType w:val="hybridMultilevel"/>
    <w:tmpl w:val="288043C6"/>
    <w:lvl w:ilvl="0" w:tplc="21E23BA4">
      <w:start w:val="2"/>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A96C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CD70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1"/>
  </w:num>
  <w:num w:numId="4">
    <w:abstractNumId w:val="13"/>
  </w:num>
  <w:num w:numId="5">
    <w:abstractNumId w:val="16"/>
  </w:num>
  <w:num w:numId="6">
    <w:abstractNumId w:val="2"/>
  </w:num>
  <w:num w:numId="7">
    <w:abstractNumId w:val="10"/>
  </w:num>
  <w:num w:numId="8">
    <w:abstractNumId w:val="4"/>
  </w:num>
  <w:num w:numId="9">
    <w:abstractNumId w:val="9"/>
  </w:num>
  <w:num w:numId="10">
    <w:abstractNumId w:val="11"/>
  </w:num>
  <w:num w:numId="11">
    <w:abstractNumId w:val="3"/>
  </w:num>
  <w:num w:numId="12">
    <w:abstractNumId w:val="6"/>
  </w:num>
  <w:num w:numId="13">
    <w:abstractNumId w:val="8"/>
  </w:num>
  <w:num w:numId="14">
    <w:abstractNumId w:val="19"/>
  </w:num>
  <w:num w:numId="15">
    <w:abstractNumId w:val="18"/>
  </w:num>
  <w:num w:numId="16">
    <w:abstractNumId w:val="0"/>
  </w:num>
  <w:num w:numId="17">
    <w:abstractNumId w:val="17"/>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93E90"/>
    <w:rsid w:val="00105469"/>
    <w:rsid w:val="00122698"/>
    <w:rsid w:val="001B36CE"/>
    <w:rsid w:val="002375C1"/>
    <w:rsid w:val="00243DF2"/>
    <w:rsid w:val="002634A5"/>
    <w:rsid w:val="00446226"/>
    <w:rsid w:val="004A0786"/>
    <w:rsid w:val="005D493C"/>
    <w:rsid w:val="00612E8B"/>
    <w:rsid w:val="006224B4"/>
    <w:rsid w:val="00682600"/>
    <w:rsid w:val="0071521A"/>
    <w:rsid w:val="007F190B"/>
    <w:rsid w:val="00820FF5"/>
    <w:rsid w:val="00841D53"/>
    <w:rsid w:val="00891AE9"/>
    <w:rsid w:val="008A655F"/>
    <w:rsid w:val="008E2F10"/>
    <w:rsid w:val="00992E96"/>
    <w:rsid w:val="009E5A94"/>
    <w:rsid w:val="00A055A8"/>
    <w:rsid w:val="00A91A60"/>
    <w:rsid w:val="00B14E17"/>
    <w:rsid w:val="00B23DA6"/>
    <w:rsid w:val="00B27F61"/>
    <w:rsid w:val="00B82459"/>
    <w:rsid w:val="00B949D9"/>
    <w:rsid w:val="00BD464D"/>
    <w:rsid w:val="00C03562"/>
    <w:rsid w:val="00C767B7"/>
    <w:rsid w:val="00CE465B"/>
    <w:rsid w:val="00D45B4D"/>
    <w:rsid w:val="00DB0489"/>
    <w:rsid w:val="00DF09AF"/>
    <w:rsid w:val="00E1448D"/>
    <w:rsid w:val="00E34E4A"/>
    <w:rsid w:val="00E76D37"/>
    <w:rsid w:val="00E90050"/>
    <w:rsid w:val="00ED60BA"/>
    <w:rsid w:val="00F04267"/>
    <w:rsid w:val="00F82574"/>
    <w:rsid w:val="0234E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7F1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28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551527599">
      <w:bodyDiv w:val="1"/>
      <w:marLeft w:val="0"/>
      <w:marRight w:val="0"/>
      <w:marTop w:val="0"/>
      <w:marBottom w:val="0"/>
      <w:divBdr>
        <w:top w:val="none" w:sz="0" w:space="0" w:color="auto"/>
        <w:left w:val="none" w:sz="0" w:space="0" w:color="auto"/>
        <w:bottom w:val="none" w:sz="0" w:space="0" w:color="auto"/>
        <w:right w:val="none" w:sz="0" w:space="0" w:color="auto"/>
      </w:divBdr>
    </w:div>
    <w:div w:id="1616982507">
      <w:bodyDiv w:val="1"/>
      <w:marLeft w:val="0"/>
      <w:marRight w:val="0"/>
      <w:marTop w:val="0"/>
      <w:marBottom w:val="0"/>
      <w:divBdr>
        <w:top w:val="none" w:sz="0" w:space="0" w:color="auto"/>
        <w:left w:val="none" w:sz="0" w:space="0" w:color="auto"/>
        <w:bottom w:val="none" w:sz="0" w:space="0" w:color="auto"/>
        <w:right w:val="none" w:sz="0" w:space="0" w:color="auto"/>
      </w:divBdr>
    </w:div>
    <w:div w:id="1794325600">
      <w:bodyDiv w:val="1"/>
      <w:marLeft w:val="0"/>
      <w:marRight w:val="0"/>
      <w:marTop w:val="0"/>
      <w:marBottom w:val="0"/>
      <w:divBdr>
        <w:top w:val="none" w:sz="0" w:space="0" w:color="auto"/>
        <w:left w:val="none" w:sz="0" w:space="0" w:color="auto"/>
        <w:bottom w:val="none" w:sz="0" w:space="0" w:color="auto"/>
        <w:right w:val="none" w:sz="0" w:space="0" w:color="auto"/>
      </w:divBdr>
    </w:div>
    <w:div w:id="1872768271">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ocal.gov.uk/briefings-and-responses/-/journal_content/56/10180/7982808/ARTIC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documents/10180/7632544/LGA+Housing+Commission+Final+Report/a84df8b5-4631-4320-8b33-567c549aadfa" TargetMode="External"/><Relationship Id="rId2" Type="http://schemas.openxmlformats.org/officeDocument/2006/relationships/customXml" Target="../customXml/item2.xml"/><Relationship Id="rId16" Type="http://schemas.openxmlformats.org/officeDocument/2006/relationships/hyperlink" Target="http://www.local.gov.uk/documents/10180/7632544/LGA+On+the+Day+briefing+Provisional+LG+Finance+Settlement+Dec+2016.pdf/6d22a793-80e5-4345-a1fe-244554dec2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jones@local.gov.uk" TargetMode="External"/><Relationship Id="rId5" Type="http://schemas.openxmlformats.org/officeDocument/2006/relationships/numbering" Target="numbering.xml"/><Relationship Id="rId15" Type="http://schemas.openxmlformats.org/officeDocument/2006/relationships/hyperlink" Target="http://local.gov.uk/documents/10180/7991192/2016+Autumn+Statement+LGA+On+the+Day+Briefing.pdf/bcb66b43-944d-465d-8537-45f86b48acc3" TargetMode="External"/><Relationship Id="rId10" Type="http://schemas.openxmlformats.org/officeDocument/2006/relationships/endnotes" Target="endnotes.xml"/><Relationship Id="rId19" Type="http://schemas.openxmlformats.org/officeDocument/2006/relationships/hyperlink" Target="https://www.gov.uk/government/news/uk-competition-launched-to-find-2023-european-capital-of-cul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54E4-F8B1-4F07-BDCD-C3672982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c8febe6a-14d9-43ab-83c3-c48f478fa47c"/>
    <ds:schemaRef ds:uri="http://schemas.microsoft.com/office/2006/metadata/properties"/>
    <ds:schemaRef ds:uri="http://schemas.microsoft.com/office/infopath/2007/PartnerControls"/>
    <ds:schemaRef ds:uri="1c8a0e75-f4bc-4eb4-8ed0-578eaea9e1ca"/>
    <ds:schemaRef ds:uri="http://www.w3.org/XML/1998/namespace"/>
  </ds:schemaRefs>
</ds:datastoreItem>
</file>

<file path=customXml/itemProps4.xml><?xml version="1.0" encoding="utf-8"?>
<ds:datastoreItem xmlns:ds="http://schemas.openxmlformats.org/officeDocument/2006/customXml" ds:itemID="{4E68ADB7-2A20-435A-BC49-56850964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57EDF61A</Template>
  <TotalTime>71</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10</cp:revision>
  <dcterms:created xsi:type="dcterms:W3CDTF">2016-12-19T12:53:00Z</dcterms:created>
  <dcterms:modified xsi:type="dcterms:W3CDTF">2016-12-22T15:50:00Z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